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56C" w:rsidRPr="00E65B1D" w:rsidRDefault="00F5456C" w:rsidP="00F5456C">
      <w:pPr>
        <w:pStyle w:val="Header"/>
        <w:tabs>
          <w:tab w:val="right" w:pos="9639"/>
        </w:tabs>
        <w:jc w:val="both"/>
        <w:rPr>
          <w:rFonts w:cs="Courier New"/>
          <w:sz w:val="24"/>
          <w:szCs w:val="24"/>
        </w:rPr>
      </w:pPr>
      <w:r w:rsidRPr="00E65B1D">
        <w:rPr>
          <w:rFonts w:cs="Courier New"/>
          <w:sz w:val="24"/>
          <w:szCs w:val="24"/>
        </w:rPr>
        <w:t xml:space="preserve">3GPP TSG-RAN WG4 </w:t>
      </w:r>
      <w:r w:rsidR="00FE28FD">
        <w:rPr>
          <w:rFonts w:cs="Courier New"/>
          <w:sz w:val="24"/>
          <w:szCs w:val="24"/>
        </w:rPr>
        <w:t>Meeting NR ad-hoc #4</w:t>
      </w:r>
      <w:r w:rsidRPr="00E65B1D">
        <w:rPr>
          <w:rFonts w:cs="Courier New"/>
          <w:sz w:val="24"/>
          <w:szCs w:val="24"/>
        </w:rPr>
        <w:tab/>
      </w:r>
      <w:r w:rsidR="00DA1F34" w:rsidRPr="00DA1F34">
        <w:rPr>
          <w:rFonts w:cs="Courier New"/>
          <w:sz w:val="24"/>
          <w:szCs w:val="24"/>
        </w:rPr>
        <w:t>R4-1800861</w:t>
      </w:r>
    </w:p>
    <w:p w:rsidR="00F5456C" w:rsidRPr="00DB3907" w:rsidRDefault="00F5456C" w:rsidP="00F5456C">
      <w:pPr>
        <w:pStyle w:val="Header"/>
        <w:tabs>
          <w:tab w:val="left" w:pos="6521"/>
        </w:tabs>
        <w:jc w:val="both"/>
        <w:rPr>
          <w:rFonts w:cs="Courier New"/>
          <w:sz w:val="24"/>
          <w:szCs w:val="24"/>
        </w:rPr>
      </w:pPr>
      <w:r>
        <w:rPr>
          <w:rFonts w:cs="Courier New"/>
          <w:sz w:val="24"/>
          <w:szCs w:val="24"/>
        </w:rPr>
        <w:t>January 22</w:t>
      </w:r>
      <w:r w:rsidRPr="00052E3E">
        <w:rPr>
          <w:rFonts w:cs="Courier New"/>
          <w:sz w:val="24"/>
          <w:szCs w:val="24"/>
          <w:vertAlign w:val="superscript"/>
        </w:rPr>
        <w:t>nd</w:t>
      </w:r>
      <w:r>
        <w:rPr>
          <w:rFonts w:cs="Courier New"/>
          <w:sz w:val="24"/>
          <w:szCs w:val="24"/>
        </w:rPr>
        <w:t xml:space="preserve"> </w:t>
      </w:r>
      <w:r w:rsidRPr="00DB3907">
        <w:rPr>
          <w:rFonts w:cs="Courier New"/>
          <w:sz w:val="24"/>
          <w:szCs w:val="24"/>
        </w:rPr>
        <w:t xml:space="preserve">– </w:t>
      </w:r>
      <w:r>
        <w:rPr>
          <w:rFonts w:cs="Courier New"/>
          <w:sz w:val="24"/>
          <w:szCs w:val="24"/>
        </w:rPr>
        <w:t>26</w:t>
      </w:r>
      <w:r>
        <w:rPr>
          <w:rFonts w:cs="Courier New"/>
          <w:sz w:val="24"/>
          <w:szCs w:val="24"/>
          <w:vertAlign w:val="superscript"/>
        </w:rPr>
        <w:t>st</w:t>
      </w:r>
      <w:r>
        <w:rPr>
          <w:rFonts w:cs="Courier New"/>
          <w:sz w:val="24"/>
          <w:szCs w:val="24"/>
        </w:rPr>
        <w:t>, 2018</w:t>
      </w:r>
    </w:p>
    <w:p w:rsidR="00F5456C" w:rsidRPr="00DB3907" w:rsidRDefault="00F5456C" w:rsidP="00F5456C">
      <w:pPr>
        <w:pStyle w:val="Header"/>
        <w:jc w:val="both"/>
        <w:rPr>
          <w:rFonts w:cs="Courier New"/>
          <w:sz w:val="24"/>
          <w:szCs w:val="24"/>
        </w:rPr>
      </w:pPr>
      <w:r>
        <w:rPr>
          <w:rFonts w:cs="Courier New"/>
          <w:sz w:val="24"/>
          <w:szCs w:val="24"/>
        </w:rPr>
        <w:t xml:space="preserve">San Diego, CA, USA </w:t>
      </w: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52E3E">
        <w:rPr>
          <w:rFonts w:ascii="Arial" w:hAnsi="Arial"/>
          <w:sz w:val="24"/>
          <w:lang w:val="en-US"/>
        </w:rPr>
        <w:t>4.3.2.1</w:t>
      </w:r>
      <w:r w:rsidR="00196FB1">
        <w:rPr>
          <w:rFonts w:ascii="Arial" w:hAnsi="Arial"/>
          <w:sz w:val="24"/>
          <w:lang w:val="en-US"/>
        </w:rPr>
        <w:t>.5</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2E3E" w:rsidRPr="00052E3E">
        <w:rPr>
          <w:rFonts w:ascii="Arial" w:hAnsi="Arial"/>
          <w:sz w:val="24"/>
          <w:lang w:val="en-US"/>
        </w:rPr>
        <w:t>Simulation assumptions for max EIRP and spherical coverage evaluation</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D97F1F" w:rsidRDefault="00052E3E" w:rsidP="0020451B">
      <w:pPr>
        <w:jc w:val="both"/>
      </w:pPr>
      <w:r>
        <w:t>Requirements for</w:t>
      </w:r>
      <w:r w:rsidR="004C50DD">
        <w:t xml:space="preserve"> </w:t>
      </w:r>
      <w:proofErr w:type="spellStart"/>
      <w:r w:rsidR="004C50DD">
        <w:t>millim</w:t>
      </w:r>
      <w:r w:rsidR="00311D71">
        <w:t>e</w:t>
      </w:r>
      <w:r w:rsidR="004C50DD">
        <w:t>ter</w:t>
      </w:r>
      <w:proofErr w:type="spellEnd"/>
      <w:r w:rsidR="004C50DD">
        <w:t xml:space="preserve"> wave (mmW)</w:t>
      </w:r>
      <w:r>
        <w:t xml:space="preserve"> UE power class were extensively discussed in RAN4 #85</w:t>
      </w:r>
      <w:r w:rsidR="004C50DD">
        <w:t>. Although</w:t>
      </w:r>
      <w:r>
        <w:t xml:space="preserve"> two </w:t>
      </w:r>
      <w:r w:rsidR="00D76E51">
        <w:t>W</w:t>
      </w:r>
      <w:r>
        <w:t xml:space="preserve">ay </w:t>
      </w:r>
      <w:r w:rsidR="00D76E51">
        <w:t>F</w:t>
      </w:r>
      <w:r>
        <w:t xml:space="preserve">orward dealing with </w:t>
      </w:r>
      <w:r w:rsidR="00D67E32">
        <w:t xml:space="preserve">minimum </w:t>
      </w:r>
      <w:r>
        <w:t xml:space="preserve">peak EIRP and spherical coverage were approved </w:t>
      </w:r>
      <w:r w:rsidR="00D76E51">
        <w:fldChar w:fldCharType="begin"/>
      </w:r>
      <w:r w:rsidR="00D76E51">
        <w:instrText xml:space="preserve"> REF _Ref492892245 \r \h </w:instrText>
      </w:r>
      <w:r w:rsidR="00D76E51">
        <w:fldChar w:fldCharType="separate"/>
      </w:r>
      <w:r w:rsidR="00581382">
        <w:t>[1]</w:t>
      </w:r>
      <w:r w:rsidR="00D76E51">
        <w:fldChar w:fldCharType="end"/>
      </w:r>
      <w:r w:rsidR="00D76E51">
        <w:fldChar w:fldCharType="begin"/>
      </w:r>
      <w:r w:rsidR="00D76E51">
        <w:instrText xml:space="preserve"> REF _Ref503262415 \r \h </w:instrText>
      </w:r>
      <w:r w:rsidR="00D76E51">
        <w:fldChar w:fldCharType="separate"/>
      </w:r>
      <w:r w:rsidR="00581382">
        <w:t>[2]</w:t>
      </w:r>
      <w:r w:rsidR="00D76E51">
        <w:fldChar w:fldCharType="end"/>
      </w:r>
      <w:r w:rsidR="004C50DD">
        <w:t>, some key points</w:t>
      </w:r>
      <w:r w:rsidR="00B8572D">
        <w:t xml:space="preserve"> are still open and</w:t>
      </w:r>
      <w:r w:rsidR="004C50DD">
        <w:t xml:space="preserve"> need to be clarified </w:t>
      </w:r>
      <w:proofErr w:type="gramStart"/>
      <w:r w:rsidR="004C50DD">
        <w:t>in order to</w:t>
      </w:r>
      <w:proofErr w:type="gramEnd"/>
      <w:r w:rsidR="004C50DD">
        <w:t xml:space="preserve"> finalize the power class definition</w:t>
      </w:r>
      <w:r w:rsidR="00D76E51">
        <w:t xml:space="preserve">. </w:t>
      </w:r>
    </w:p>
    <w:p w:rsidR="004C50DD" w:rsidRDefault="004C50DD" w:rsidP="0020451B">
      <w:pPr>
        <w:jc w:val="both"/>
      </w:pPr>
      <w:r>
        <w:t xml:space="preserve">In this </w:t>
      </w:r>
      <w:r w:rsidR="00082230">
        <w:t>contribution,</w:t>
      </w:r>
      <w:r>
        <w:t xml:space="preserve"> we provide our view on the simulation assumptions and deployment scenarios which should be used to evaluate the impact of peak EIRP and spherical coverage requirements on NR network performance in mmW deployments. </w:t>
      </w:r>
      <w:r w:rsidR="00D67E32">
        <w:t xml:space="preserve">The simulation results </w:t>
      </w:r>
      <w:r w:rsidR="003B236B">
        <w:t xml:space="preserve">- </w:t>
      </w:r>
      <w:r w:rsidR="00D67E32">
        <w:t>obtained based on the proposed assumptions</w:t>
      </w:r>
      <w:r w:rsidR="003B236B">
        <w:t xml:space="preserve"> -</w:t>
      </w:r>
      <w:r w:rsidR="00D67E32">
        <w:t xml:space="preserve"> should be used as basis to finalize the UE power</w:t>
      </w:r>
      <w:r>
        <w:t xml:space="preserve"> </w:t>
      </w:r>
      <w:r w:rsidR="00D67E32">
        <w:t>class definition in frequency range 2 (FR2).</w:t>
      </w:r>
    </w:p>
    <w:p w:rsidR="00781440" w:rsidRDefault="00981D0D" w:rsidP="00AC033F">
      <w:pPr>
        <w:pStyle w:val="Heading1"/>
        <w:tabs>
          <w:tab w:val="clear" w:pos="432"/>
          <w:tab w:val="num" w:pos="522"/>
        </w:tabs>
        <w:ind w:left="522" w:hanging="522"/>
        <w:jc w:val="both"/>
        <w:rPr>
          <w:lang w:val="en-US"/>
        </w:rPr>
      </w:pPr>
      <w:r>
        <w:rPr>
          <w:lang w:val="en-US"/>
        </w:rPr>
        <w:t>Discussion</w:t>
      </w:r>
    </w:p>
    <w:p w:rsidR="000960C6" w:rsidRDefault="00D67E32" w:rsidP="000960C6">
      <w:pPr>
        <w:jc w:val="both"/>
        <w:rPr>
          <w:bCs/>
          <w:iCs/>
        </w:rPr>
      </w:pPr>
      <w:r w:rsidRPr="00D67E32">
        <w:rPr>
          <w:bCs/>
          <w:iCs/>
        </w:rPr>
        <w:t xml:space="preserve">In </w:t>
      </w:r>
      <w:r>
        <w:rPr>
          <w:bCs/>
          <w:iCs/>
        </w:rPr>
        <w:t xml:space="preserve">RAN4 #85 both minimum peak EIRP and spherical coverage requirements were addressed. In </w:t>
      </w:r>
      <w:r>
        <w:rPr>
          <w:bCs/>
          <w:iCs/>
        </w:rPr>
        <w:fldChar w:fldCharType="begin"/>
      </w:r>
      <w:r>
        <w:rPr>
          <w:bCs/>
          <w:iCs/>
        </w:rPr>
        <w:instrText xml:space="preserve"> REF _Ref492892245 \r \h </w:instrText>
      </w:r>
      <w:r>
        <w:rPr>
          <w:bCs/>
          <w:iCs/>
        </w:rPr>
      </w:r>
      <w:r>
        <w:rPr>
          <w:bCs/>
          <w:iCs/>
        </w:rPr>
        <w:fldChar w:fldCharType="separate"/>
      </w:r>
      <w:r w:rsidR="00581382">
        <w:rPr>
          <w:bCs/>
          <w:iCs/>
        </w:rPr>
        <w:t>[1]</w:t>
      </w:r>
      <w:r>
        <w:rPr>
          <w:bCs/>
          <w:iCs/>
        </w:rPr>
        <w:fldChar w:fldCharType="end"/>
      </w:r>
      <w:r>
        <w:rPr>
          <w:bCs/>
          <w:iCs/>
        </w:rPr>
        <w:t xml:space="preserve">, </w:t>
      </w:r>
      <w:r w:rsidR="0081223F">
        <w:rPr>
          <w:bCs/>
          <w:iCs/>
        </w:rPr>
        <w:t xml:space="preserve">the following was agreed and already implemented in the first release of UE RF technical specification for FR2 </w:t>
      </w:r>
      <w:r w:rsidR="0081223F">
        <w:rPr>
          <w:bCs/>
          <w:iCs/>
        </w:rPr>
        <w:fldChar w:fldCharType="begin"/>
      </w:r>
      <w:r w:rsidR="0081223F">
        <w:rPr>
          <w:bCs/>
          <w:iCs/>
        </w:rPr>
        <w:instrText xml:space="preserve"> REF _Ref503263719 \r \h </w:instrText>
      </w:r>
      <w:r w:rsidR="0081223F">
        <w:rPr>
          <w:bCs/>
          <w:iCs/>
        </w:rPr>
      </w:r>
      <w:r w:rsidR="0081223F">
        <w:rPr>
          <w:bCs/>
          <w:iCs/>
        </w:rPr>
        <w:fldChar w:fldCharType="separate"/>
      </w:r>
      <w:r w:rsidR="00581382">
        <w:rPr>
          <w:bCs/>
          <w:iCs/>
        </w:rPr>
        <w:t>[3]</w:t>
      </w:r>
      <w:r w:rsidR="0081223F">
        <w:rPr>
          <w:bCs/>
          <w:iCs/>
        </w:rPr>
        <w:fldChar w:fldCharType="end"/>
      </w:r>
      <w:r w:rsidR="0081223F">
        <w:rPr>
          <w:bCs/>
          <w:iCs/>
        </w:rPr>
        <w:t>:</w:t>
      </w:r>
    </w:p>
    <w:p w:rsidR="0081223F" w:rsidRPr="0081223F" w:rsidRDefault="0081223F" w:rsidP="0081223F">
      <w:pPr>
        <w:numPr>
          <w:ilvl w:val="0"/>
          <w:numId w:val="36"/>
        </w:numPr>
        <w:jc w:val="both"/>
        <w:rPr>
          <w:bCs/>
          <w:i/>
          <w:iCs/>
          <w:lang w:val="en-US"/>
        </w:rPr>
      </w:pPr>
      <w:r w:rsidRPr="0081223F">
        <w:rPr>
          <w:bCs/>
          <w:i/>
          <w:iCs/>
          <w:lang w:val="en-US"/>
        </w:rPr>
        <w:t>The handheld UE peak EIRP range is defined as follows and will be captured in TS38.101-2 in this meeting</w:t>
      </w:r>
    </w:p>
    <w:p w:rsidR="0081223F" w:rsidRPr="0081223F" w:rsidRDefault="0081223F" w:rsidP="0081223F">
      <w:pPr>
        <w:numPr>
          <w:ilvl w:val="1"/>
          <w:numId w:val="36"/>
        </w:numPr>
        <w:jc w:val="both"/>
        <w:rPr>
          <w:bCs/>
          <w:i/>
          <w:iCs/>
          <w:lang w:val="en-US"/>
        </w:rPr>
      </w:pPr>
      <w:r w:rsidRPr="0081223F">
        <w:rPr>
          <w:bCs/>
          <w:i/>
          <w:iCs/>
          <w:lang w:val="en-US"/>
        </w:rPr>
        <w:t>For 28 GHz: [21.2-25.2] dBm</w:t>
      </w:r>
    </w:p>
    <w:p w:rsidR="0081223F" w:rsidRPr="0081223F" w:rsidRDefault="0081223F" w:rsidP="0081223F">
      <w:pPr>
        <w:numPr>
          <w:ilvl w:val="1"/>
          <w:numId w:val="36"/>
        </w:numPr>
        <w:jc w:val="both"/>
        <w:rPr>
          <w:bCs/>
          <w:i/>
          <w:iCs/>
          <w:lang w:val="en-US"/>
        </w:rPr>
      </w:pPr>
      <w:r w:rsidRPr="0081223F">
        <w:rPr>
          <w:bCs/>
          <w:i/>
          <w:iCs/>
          <w:lang w:val="en-US"/>
        </w:rPr>
        <w:t>For 39 GHz: [19.4-23.7] dBm</w:t>
      </w:r>
    </w:p>
    <w:p w:rsidR="0081223F" w:rsidRDefault="0081223F" w:rsidP="0081223F">
      <w:pPr>
        <w:jc w:val="both"/>
        <w:rPr>
          <w:bCs/>
          <w:iCs/>
          <w:lang w:val="en-US"/>
        </w:rPr>
      </w:pPr>
      <w:r>
        <w:rPr>
          <w:bCs/>
          <w:iCs/>
          <w:lang w:val="en-US"/>
        </w:rPr>
        <w:t xml:space="preserve">Furthermore, </w:t>
      </w:r>
      <w:r w:rsidRPr="0081223F">
        <w:rPr>
          <w:bCs/>
          <w:i/>
          <w:iCs/>
          <w:lang w:val="en-US"/>
        </w:rPr>
        <w:t>“companies are encouraged to provide additional analysis with the intention to finalize the UE peak EIRP requirement”</w:t>
      </w:r>
      <w:r>
        <w:rPr>
          <w:bCs/>
          <w:iCs/>
          <w:lang w:val="en-US"/>
        </w:rPr>
        <w:t xml:space="preserve">. </w:t>
      </w:r>
    </w:p>
    <w:p w:rsidR="0081223F" w:rsidRDefault="0081223F" w:rsidP="0081223F">
      <w:pPr>
        <w:jc w:val="both"/>
        <w:rPr>
          <w:bCs/>
          <w:iCs/>
          <w:lang w:val="en-US"/>
        </w:rPr>
      </w:pPr>
      <w:r>
        <w:rPr>
          <w:bCs/>
          <w:iCs/>
          <w:lang w:val="en-US"/>
        </w:rPr>
        <w:t xml:space="preserve">Regarding to spherical coverage, </w:t>
      </w:r>
      <w:r w:rsidR="00ED02BB">
        <w:rPr>
          <w:bCs/>
          <w:iCs/>
          <w:lang w:val="en-US"/>
        </w:rPr>
        <w:t xml:space="preserve">in </w:t>
      </w:r>
      <w:r w:rsidR="00ED02BB">
        <w:rPr>
          <w:bCs/>
          <w:iCs/>
          <w:lang w:val="en-US"/>
        </w:rPr>
        <w:fldChar w:fldCharType="begin"/>
      </w:r>
      <w:r w:rsidR="00ED02BB">
        <w:rPr>
          <w:bCs/>
          <w:iCs/>
          <w:lang w:val="en-US"/>
        </w:rPr>
        <w:instrText xml:space="preserve"> REF _Ref503263719 \r \h </w:instrText>
      </w:r>
      <w:r w:rsidR="00ED02BB">
        <w:rPr>
          <w:bCs/>
          <w:iCs/>
          <w:lang w:val="en-US"/>
        </w:rPr>
      </w:r>
      <w:r w:rsidR="00ED02BB">
        <w:rPr>
          <w:bCs/>
          <w:iCs/>
          <w:lang w:val="en-US"/>
        </w:rPr>
        <w:fldChar w:fldCharType="separate"/>
      </w:r>
      <w:r w:rsidR="00581382">
        <w:rPr>
          <w:bCs/>
          <w:iCs/>
          <w:lang w:val="en-US"/>
        </w:rPr>
        <w:t>[3]</w:t>
      </w:r>
      <w:r w:rsidR="00ED02BB">
        <w:rPr>
          <w:bCs/>
          <w:iCs/>
          <w:lang w:val="en-US"/>
        </w:rPr>
        <w:fldChar w:fldCharType="end"/>
      </w:r>
      <w:r w:rsidR="00ED02BB">
        <w:rPr>
          <w:bCs/>
          <w:iCs/>
          <w:lang w:val="en-US"/>
        </w:rPr>
        <w:t xml:space="preserve"> </w:t>
      </w:r>
      <w:r>
        <w:rPr>
          <w:bCs/>
          <w:iCs/>
          <w:lang w:val="en-US"/>
        </w:rPr>
        <w:t xml:space="preserve">it was recognized that </w:t>
      </w:r>
      <w:r w:rsidR="00ED02BB" w:rsidRPr="00ED02BB">
        <w:rPr>
          <w:bCs/>
          <w:i/>
          <w:iCs/>
          <w:lang w:val="en-US"/>
        </w:rPr>
        <w:t>“</w:t>
      </w:r>
      <w:r w:rsidR="00ED02BB">
        <w:rPr>
          <w:bCs/>
          <w:i/>
          <w:iCs/>
          <w:lang w:val="en-US"/>
        </w:rPr>
        <w:t>n</w:t>
      </w:r>
      <w:r w:rsidR="00ED02BB" w:rsidRPr="00ED02BB">
        <w:rPr>
          <w:bCs/>
          <w:i/>
          <w:iCs/>
          <w:lang w:val="en-US"/>
        </w:rPr>
        <w:t>etwork simulations are required to analyze performance impact and understand tradeoff of spherical coverage”</w:t>
      </w:r>
      <w:r w:rsidR="00ED02BB" w:rsidRPr="00ED02BB">
        <w:rPr>
          <w:bCs/>
          <w:iCs/>
          <w:lang w:val="en-US"/>
        </w:rPr>
        <w:t>,</w:t>
      </w:r>
      <w:r w:rsidR="00ED02BB">
        <w:rPr>
          <w:bCs/>
          <w:iCs/>
          <w:lang w:val="en-US"/>
        </w:rPr>
        <w:t xml:space="preserve"> and </w:t>
      </w:r>
      <w:r>
        <w:rPr>
          <w:bCs/>
          <w:iCs/>
          <w:lang w:val="en-US"/>
        </w:rPr>
        <w:t xml:space="preserve">the following </w:t>
      </w:r>
      <w:r w:rsidR="00ED02BB">
        <w:rPr>
          <w:bCs/>
          <w:iCs/>
          <w:lang w:val="en-US"/>
        </w:rPr>
        <w:t xml:space="preserve">bullets related to simulation assumptions were </w:t>
      </w:r>
      <w:r>
        <w:rPr>
          <w:bCs/>
          <w:iCs/>
          <w:lang w:val="en-US"/>
        </w:rPr>
        <w:t>agreed:</w:t>
      </w:r>
    </w:p>
    <w:p w:rsidR="0081223F" w:rsidRPr="00ED02BB" w:rsidRDefault="0081223F" w:rsidP="00ED02BB">
      <w:pPr>
        <w:pStyle w:val="ListParagraph"/>
        <w:numPr>
          <w:ilvl w:val="0"/>
          <w:numId w:val="37"/>
        </w:numPr>
        <w:jc w:val="both"/>
        <w:rPr>
          <w:bCs/>
          <w:i/>
          <w:iCs/>
          <w:lang w:val="en-US"/>
        </w:rPr>
      </w:pPr>
      <w:r w:rsidRPr="00ED02BB">
        <w:rPr>
          <w:bCs/>
          <w:i/>
          <w:iCs/>
          <w:lang w:val="en-US"/>
        </w:rPr>
        <w:t>Operators to provide guidance on deployment scenarios and use cases</w:t>
      </w:r>
    </w:p>
    <w:p w:rsidR="0081223F" w:rsidRPr="00ED02BB" w:rsidRDefault="0081223F" w:rsidP="00ED02BB">
      <w:pPr>
        <w:pStyle w:val="ListParagraph"/>
        <w:numPr>
          <w:ilvl w:val="1"/>
          <w:numId w:val="37"/>
        </w:numPr>
        <w:jc w:val="both"/>
        <w:rPr>
          <w:bCs/>
          <w:i/>
          <w:iCs/>
          <w:lang w:val="en-US"/>
        </w:rPr>
      </w:pPr>
      <w:r w:rsidRPr="00ED02BB">
        <w:rPr>
          <w:bCs/>
          <w:i/>
          <w:iCs/>
          <w:lang w:val="en-US"/>
        </w:rPr>
        <w:t>In absence of guidance TR 38.803 scenarios to be considered</w:t>
      </w:r>
    </w:p>
    <w:p w:rsidR="0081223F" w:rsidRPr="00ED02BB" w:rsidRDefault="0081223F" w:rsidP="00ED02BB">
      <w:pPr>
        <w:pStyle w:val="ListParagraph"/>
        <w:numPr>
          <w:ilvl w:val="1"/>
          <w:numId w:val="37"/>
        </w:numPr>
        <w:jc w:val="both"/>
        <w:rPr>
          <w:bCs/>
          <w:i/>
          <w:iCs/>
          <w:lang w:val="en-US"/>
        </w:rPr>
      </w:pPr>
      <w:r w:rsidRPr="00ED02BB">
        <w:rPr>
          <w:bCs/>
          <w:i/>
          <w:iCs/>
          <w:lang w:val="en-US"/>
        </w:rPr>
        <w:t>The minimum UE peak EIRP adopted in the simulation shall be modified in accordance with outcome of RAN4#85</w:t>
      </w:r>
    </w:p>
    <w:p w:rsidR="0081223F" w:rsidRPr="00ED02BB" w:rsidRDefault="0081223F" w:rsidP="00ED02BB">
      <w:pPr>
        <w:pStyle w:val="ListParagraph"/>
        <w:numPr>
          <w:ilvl w:val="0"/>
          <w:numId w:val="37"/>
        </w:numPr>
        <w:jc w:val="both"/>
        <w:rPr>
          <w:bCs/>
          <w:i/>
          <w:iCs/>
          <w:lang w:val="en-US"/>
        </w:rPr>
      </w:pPr>
      <w:r w:rsidRPr="00ED02BB">
        <w:rPr>
          <w:bCs/>
          <w:i/>
          <w:iCs/>
          <w:lang w:val="en-US"/>
        </w:rPr>
        <w:t>The following modeling confirmation or enhancements to 38.803 assumptions are needed to assess impact of spherical coverage on network. The list of parameters which can be modified include (but not limited to)</w:t>
      </w:r>
    </w:p>
    <w:p w:rsidR="0081223F" w:rsidRPr="00ED02BB" w:rsidRDefault="0081223F" w:rsidP="00ED02BB">
      <w:pPr>
        <w:pStyle w:val="ListParagraph"/>
        <w:numPr>
          <w:ilvl w:val="1"/>
          <w:numId w:val="37"/>
        </w:numPr>
        <w:jc w:val="both"/>
        <w:rPr>
          <w:bCs/>
          <w:i/>
          <w:iCs/>
          <w:lang w:val="en-US"/>
        </w:rPr>
      </w:pPr>
      <w:r w:rsidRPr="00ED02BB">
        <w:rPr>
          <w:bCs/>
          <w:i/>
          <w:iCs/>
          <w:lang w:val="en-US"/>
        </w:rPr>
        <w:t>ISD</w:t>
      </w:r>
    </w:p>
    <w:p w:rsidR="0081223F" w:rsidRPr="00ED02BB" w:rsidRDefault="0081223F" w:rsidP="00ED02BB">
      <w:pPr>
        <w:pStyle w:val="ListParagraph"/>
        <w:numPr>
          <w:ilvl w:val="1"/>
          <w:numId w:val="37"/>
        </w:numPr>
        <w:jc w:val="both"/>
        <w:rPr>
          <w:bCs/>
          <w:i/>
          <w:iCs/>
          <w:lang w:val="en-US"/>
        </w:rPr>
      </w:pPr>
      <w:r w:rsidRPr="00ED02BB">
        <w:rPr>
          <w:bCs/>
          <w:i/>
          <w:iCs/>
          <w:lang w:val="en-US"/>
        </w:rPr>
        <w:t xml:space="preserve">UE indoor/outdoor ratio (All UEs indoor for Indoor Office, All UEs outdoor for dense urban and Macro) </w:t>
      </w:r>
    </w:p>
    <w:p w:rsidR="0081223F" w:rsidRPr="00ED02BB" w:rsidRDefault="0081223F" w:rsidP="00ED02BB">
      <w:pPr>
        <w:pStyle w:val="ListParagraph"/>
        <w:numPr>
          <w:ilvl w:val="1"/>
          <w:numId w:val="37"/>
        </w:numPr>
        <w:jc w:val="both"/>
        <w:rPr>
          <w:bCs/>
          <w:i/>
          <w:iCs/>
          <w:lang w:val="en-US"/>
        </w:rPr>
      </w:pPr>
      <w:r w:rsidRPr="00ED02BB">
        <w:rPr>
          <w:bCs/>
          <w:i/>
          <w:iCs/>
          <w:lang w:val="en-US"/>
        </w:rPr>
        <w:t>Coverage definition and coverage requirement (currently outage is defined as min SINR less than -10dB)</w:t>
      </w:r>
    </w:p>
    <w:p w:rsidR="0081223F" w:rsidRPr="00ED02BB" w:rsidRDefault="0081223F" w:rsidP="00ED02BB">
      <w:pPr>
        <w:pStyle w:val="ListParagraph"/>
        <w:numPr>
          <w:ilvl w:val="1"/>
          <w:numId w:val="37"/>
        </w:numPr>
        <w:jc w:val="both"/>
        <w:rPr>
          <w:bCs/>
          <w:i/>
          <w:iCs/>
          <w:lang w:val="en-US"/>
        </w:rPr>
      </w:pPr>
      <w:r w:rsidRPr="00ED02BB">
        <w:rPr>
          <w:bCs/>
          <w:i/>
          <w:iCs/>
          <w:lang w:val="en-US"/>
        </w:rPr>
        <w:t>UE elevation (It is currently fixed at 90 degree)</w:t>
      </w:r>
    </w:p>
    <w:p w:rsidR="0081223F" w:rsidRPr="00ED02BB" w:rsidRDefault="0081223F" w:rsidP="00ED02BB">
      <w:pPr>
        <w:pStyle w:val="ListParagraph"/>
        <w:numPr>
          <w:ilvl w:val="1"/>
          <w:numId w:val="37"/>
        </w:numPr>
        <w:jc w:val="both"/>
        <w:rPr>
          <w:bCs/>
          <w:i/>
          <w:iCs/>
          <w:lang w:val="en-US"/>
        </w:rPr>
      </w:pPr>
      <w:r w:rsidRPr="00ED02BB">
        <w:rPr>
          <w:bCs/>
          <w:i/>
          <w:iCs/>
          <w:lang w:val="en-US"/>
        </w:rPr>
        <w:t>Reference antenna pattern CDFs that parameterizes (percentile, EIRP) the spherical coverage requirements (FFS)</w:t>
      </w:r>
    </w:p>
    <w:p w:rsidR="0081223F" w:rsidRPr="00ED02BB" w:rsidRDefault="0081223F" w:rsidP="00ED02BB">
      <w:pPr>
        <w:pStyle w:val="ListParagraph"/>
        <w:numPr>
          <w:ilvl w:val="1"/>
          <w:numId w:val="37"/>
        </w:numPr>
        <w:jc w:val="both"/>
        <w:rPr>
          <w:bCs/>
          <w:i/>
          <w:iCs/>
          <w:lang w:val="en-US"/>
        </w:rPr>
      </w:pPr>
      <w:r w:rsidRPr="00ED02BB">
        <w:rPr>
          <w:bCs/>
          <w:i/>
          <w:iCs/>
          <w:lang w:val="en-US"/>
        </w:rPr>
        <w:t>Partial resource allocation (Not allocating all PRBs to UE) (FFS)</w:t>
      </w:r>
    </w:p>
    <w:p w:rsidR="0081223F" w:rsidRPr="00ED02BB" w:rsidRDefault="0081223F" w:rsidP="00ED02BB">
      <w:pPr>
        <w:pStyle w:val="ListParagraph"/>
        <w:numPr>
          <w:ilvl w:val="1"/>
          <w:numId w:val="37"/>
        </w:numPr>
        <w:jc w:val="both"/>
        <w:rPr>
          <w:bCs/>
          <w:i/>
          <w:iCs/>
          <w:lang w:val="en-US"/>
        </w:rPr>
      </w:pPr>
      <w:r w:rsidRPr="00ED02BB">
        <w:rPr>
          <w:bCs/>
          <w:i/>
          <w:iCs/>
          <w:lang w:val="en-US"/>
        </w:rPr>
        <w:t>Body Blockage, Handgrip, cover materials (FFS)</w:t>
      </w:r>
    </w:p>
    <w:p w:rsidR="0081223F" w:rsidRPr="00ED02BB" w:rsidRDefault="0081223F" w:rsidP="00ED02BB">
      <w:pPr>
        <w:pStyle w:val="ListParagraph"/>
        <w:numPr>
          <w:ilvl w:val="0"/>
          <w:numId w:val="37"/>
        </w:numPr>
        <w:jc w:val="both"/>
        <w:rPr>
          <w:bCs/>
          <w:i/>
          <w:iCs/>
          <w:lang w:val="en-US"/>
        </w:rPr>
      </w:pPr>
      <w:r w:rsidRPr="00ED02BB">
        <w:rPr>
          <w:bCs/>
          <w:i/>
          <w:iCs/>
          <w:lang w:val="en-US"/>
        </w:rPr>
        <w:t>All modifications compared to the baseline in TR 38.803 need to be documented</w:t>
      </w:r>
    </w:p>
    <w:p w:rsidR="0081223F" w:rsidRPr="00ED02BB" w:rsidRDefault="0081223F" w:rsidP="00ED02BB">
      <w:pPr>
        <w:pStyle w:val="ListParagraph"/>
        <w:numPr>
          <w:ilvl w:val="0"/>
          <w:numId w:val="37"/>
        </w:numPr>
        <w:jc w:val="both"/>
        <w:rPr>
          <w:bCs/>
          <w:i/>
          <w:iCs/>
          <w:lang w:val="en-US"/>
        </w:rPr>
      </w:pPr>
      <w:r w:rsidRPr="00ED02BB">
        <w:rPr>
          <w:bCs/>
          <w:i/>
          <w:iCs/>
          <w:lang w:val="en-US"/>
        </w:rPr>
        <w:t xml:space="preserve">Performance metrics </w:t>
      </w:r>
    </w:p>
    <w:p w:rsidR="0081223F" w:rsidRPr="00ED02BB" w:rsidRDefault="0081223F" w:rsidP="00ED02BB">
      <w:pPr>
        <w:pStyle w:val="ListParagraph"/>
        <w:numPr>
          <w:ilvl w:val="1"/>
          <w:numId w:val="37"/>
        </w:numPr>
        <w:jc w:val="both"/>
        <w:rPr>
          <w:bCs/>
          <w:i/>
          <w:iCs/>
          <w:lang w:val="en-US"/>
        </w:rPr>
      </w:pPr>
      <w:r w:rsidRPr="00ED02BB">
        <w:rPr>
          <w:bCs/>
          <w:i/>
          <w:iCs/>
          <w:lang w:val="en-US"/>
        </w:rPr>
        <w:lastRenderedPageBreak/>
        <w:t>Guidance from operators is requested for given deployment scenarios and use cases</w:t>
      </w:r>
    </w:p>
    <w:p w:rsidR="0081223F" w:rsidRPr="00ED02BB" w:rsidRDefault="0081223F" w:rsidP="00ED02BB">
      <w:pPr>
        <w:pStyle w:val="ListParagraph"/>
        <w:numPr>
          <w:ilvl w:val="1"/>
          <w:numId w:val="37"/>
        </w:numPr>
        <w:jc w:val="both"/>
        <w:rPr>
          <w:bCs/>
          <w:i/>
          <w:iCs/>
          <w:lang w:val="en-US"/>
        </w:rPr>
      </w:pPr>
      <w:r w:rsidRPr="00ED02BB">
        <w:rPr>
          <w:bCs/>
          <w:i/>
          <w:iCs/>
          <w:lang w:val="en-US"/>
        </w:rPr>
        <w:t>DL and UL throughput, outage</w:t>
      </w:r>
    </w:p>
    <w:p w:rsidR="0081223F" w:rsidRPr="0081223F" w:rsidRDefault="00ED02BB" w:rsidP="0081223F">
      <w:pPr>
        <w:jc w:val="both"/>
        <w:rPr>
          <w:bCs/>
          <w:iCs/>
          <w:lang w:val="en-US"/>
        </w:rPr>
      </w:pPr>
      <w:r>
        <w:rPr>
          <w:bCs/>
          <w:iCs/>
          <w:lang w:val="en-US"/>
        </w:rPr>
        <w:t>In the following sections</w:t>
      </w:r>
      <w:r w:rsidR="00581382">
        <w:rPr>
          <w:bCs/>
          <w:iCs/>
          <w:lang w:val="en-US"/>
        </w:rPr>
        <w:t>,</w:t>
      </w:r>
      <w:r>
        <w:rPr>
          <w:bCs/>
          <w:iCs/>
          <w:lang w:val="en-US"/>
        </w:rPr>
        <w:t xml:space="preserve"> we provide our view on the above simulation settings, including deployment scenarios</w:t>
      </w:r>
      <w:r w:rsidR="00DE075A">
        <w:rPr>
          <w:bCs/>
          <w:iCs/>
          <w:lang w:val="en-US"/>
        </w:rPr>
        <w:t>,</w:t>
      </w:r>
      <w:r>
        <w:rPr>
          <w:bCs/>
          <w:iCs/>
          <w:lang w:val="en-US"/>
        </w:rPr>
        <w:t xml:space="preserve"> UE specific parameters</w:t>
      </w:r>
      <w:r w:rsidR="00DE075A">
        <w:rPr>
          <w:bCs/>
          <w:iCs/>
          <w:lang w:val="en-US"/>
        </w:rPr>
        <w:t xml:space="preserve">, </w:t>
      </w:r>
      <w:r w:rsidR="00581382">
        <w:rPr>
          <w:bCs/>
          <w:iCs/>
          <w:lang w:val="en-US"/>
        </w:rPr>
        <w:t xml:space="preserve">hand </w:t>
      </w:r>
      <w:r w:rsidR="00DE075A">
        <w:rPr>
          <w:bCs/>
          <w:iCs/>
          <w:lang w:val="en-US"/>
        </w:rPr>
        <w:t>blockage model and spherical coverage evaluation methodology</w:t>
      </w:r>
      <w:r>
        <w:rPr>
          <w:bCs/>
          <w:iCs/>
          <w:lang w:val="en-US"/>
        </w:rPr>
        <w:t xml:space="preserve">. The same set of proposed assumptions will be used in </w:t>
      </w:r>
      <w:r>
        <w:rPr>
          <w:bCs/>
          <w:iCs/>
          <w:lang w:val="en-US"/>
        </w:rPr>
        <w:fldChar w:fldCharType="begin"/>
      </w:r>
      <w:r>
        <w:rPr>
          <w:bCs/>
          <w:iCs/>
          <w:lang w:val="en-US"/>
        </w:rPr>
        <w:instrText xml:space="preserve"> REF _Ref503264569 \r \h </w:instrText>
      </w:r>
      <w:r>
        <w:rPr>
          <w:bCs/>
          <w:iCs/>
          <w:lang w:val="en-US"/>
        </w:rPr>
      </w:r>
      <w:r>
        <w:rPr>
          <w:bCs/>
          <w:iCs/>
          <w:lang w:val="en-US"/>
        </w:rPr>
        <w:fldChar w:fldCharType="separate"/>
      </w:r>
      <w:r w:rsidR="00581382">
        <w:rPr>
          <w:bCs/>
          <w:iCs/>
          <w:lang w:val="en-US"/>
        </w:rPr>
        <w:t>[4]</w:t>
      </w:r>
      <w:r>
        <w:rPr>
          <w:bCs/>
          <w:iCs/>
          <w:lang w:val="en-US"/>
        </w:rPr>
        <w:fldChar w:fldCharType="end"/>
      </w:r>
      <w:r>
        <w:rPr>
          <w:bCs/>
          <w:iCs/>
          <w:lang w:val="en-US"/>
        </w:rPr>
        <w:fldChar w:fldCharType="begin"/>
      </w:r>
      <w:r>
        <w:rPr>
          <w:bCs/>
          <w:iCs/>
          <w:lang w:val="en-US"/>
        </w:rPr>
        <w:instrText xml:space="preserve"> REF _Ref503264571 \r \h </w:instrText>
      </w:r>
      <w:r>
        <w:rPr>
          <w:bCs/>
          <w:iCs/>
          <w:lang w:val="en-US"/>
        </w:rPr>
      </w:r>
      <w:r>
        <w:rPr>
          <w:bCs/>
          <w:iCs/>
          <w:lang w:val="en-US"/>
        </w:rPr>
        <w:fldChar w:fldCharType="separate"/>
      </w:r>
      <w:r w:rsidR="00581382">
        <w:rPr>
          <w:bCs/>
          <w:iCs/>
          <w:lang w:val="en-US"/>
        </w:rPr>
        <w:t>[5]</w:t>
      </w:r>
      <w:r>
        <w:rPr>
          <w:bCs/>
          <w:iCs/>
          <w:lang w:val="en-US"/>
        </w:rPr>
        <w:fldChar w:fldCharType="end"/>
      </w:r>
      <w:r>
        <w:rPr>
          <w:bCs/>
          <w:iCs/>
          <w:lang w:val="en-US"/>
        </w:rPr>
        <w:t xml:space="preserve"> to determine the impact </w:t>
      </w:r>
      <w:r w:rsidR="00343C03">
        <w:rPr>
          <w:bCs/>
          <w:iCs/>
          <w:lang w:val="en-US"/>
        </w:rPr>
        <w:t>to</w:t>
      </w:r>
      <w:r>
        <w:rPr>
          <w:bCs/>
          <w:iCs/>
          <w:lang w:val="en-US"/>
        </w:rPr>
        <w:t xml:space="preserve"> network performance related </w:t>
      </w:r>
      <w:r w:rsidR="00343C03">
        <w:rPr>
          <w:bCs/>
          <w:iCs/>
          <w:lang w:val="en-US"/>
        </w:rPr>
        <w:t>of</w:t>
      </w:r>
      <w:r>
        <w:rPr>
          <w:bCs/>
          <w:iCs/>
          <w:lang w:val="en-US"/>
        </w:rPr>
        <w:t xml:space="preserve"> peak EIRP and spherical coverage, respectively.</w:t>
      </w:r>
    </w:p>
    <w:p w:rsidR="00ED02BB" w:rsidRDefault="00ED02BB" w:rsidP="00ED02BB">
      <w:pPr>
        <w:pStyle w:val="Heading2"/>
        <w:rPr>
          <w:lang w:val="en-US"/>
        </w:rPr>
      </w:pPr>
      <w:r>
        <w:rPr>
          <w:lang w:val="en-US"/>
        </w:rPr>
        <w:t xml:space="preserve">Proposed </w:t>
      </w:r>
      <w:r w:rsidR="00496B1A">
        <w:rPr>
          <w:lang w:val="en-US"/>
        </w:rPr>
        <w:t>Deployment scenarios</w:t>
      </w:r>
    </w:p>
    <w:p w:rsidR="00C14E45" w:rsidRPr="00C14E45" w:rsidRDefault="00FD3667" w:rsidP="00343C03">
      <w:pPr>
        <w:jc w:val="both"/>
      </w:pPr>
      <w:r>
        <w:t xml:space="preserve">Our proposal is to start from existing scenarios defined in TR 38.803 </w:t>
      </w:r>
      <w:r w:rsidR="00496B1A">
        <w:fldChar w:fldCharType="begin"/>
      </w:r>
      <w:r w:rsidR="00496B1A">
        <w:instrText xml:space="preserve"> REF _Ref503265224 \r \h </w:instrText>
      </w:r>
      <w:r w:rsidR="00343C03">
        <w:instrText xml:space="preserve"> \* MERGEFORMAT </w:instrText>
      </w:r>
      <w:r w:rsidR="00496B1A">
        <w:fldChar w:fldCharType="separate"/>
      </w:r>
      <w:r w:rsidR="00581382">
        <w:t>[6]</w:t>
      </w:r>
      <w:r w:rsidR="00496B1A">
        <w:fldChar w:fldCharType="end"/>
      </w:r>
      <w:r w:rsidR="00496B1A">
        <w:t xml:space="preserve"> </w:t>
      </w:r>
      <w:r>
        <w:t xml:space="preserve">and modifying those ones to get more realistic assumptions. Introducing new scenarios based on different layout would imply a re-calibration phase which could take long </w:t>
      </w:r>
      <w:r w:rsidRPr="00C14E45">
        <w:t>time.</w:t>
      </w:r>
      <w:r w:rsidR="00496B1A" w:rsidRPr="00C14E45">
        <w:t xml:space="preserve"> </w:t>
      </w:r>
      <w:proofErr w:type="gramStart"/>
      <w:r w:rsidR="00581382">
        <w:t>In particular, we</w:t>
      </w:r>
      <w:proofErr w:type="gramEnd"/>
      <w:r w:rsidR="00581382">
        <w:t xml:space="preserve"> propose</w:t>
      </w:r>
      <w:r w:rsidR="00C14E45" w:rsidRPr="00C14E45">
        <w:t xml:space="preserve"> the following:</w:t>
      </w:r>
    </w:p>
    <w:p w:rsidR="00FD3667" w:rsidRPr="00C14E45" w:rsidRDefault="00C14E45" w:rsidP="00343C03">
      <w:pPr>
        <w:pStyle w:val="ListParagraph"/>
        <w:numPr>
          <w:ilvl w:val="0"/>
          <w:numId w:val="41"/>
        </w:numPr>
        <w:jc w:val="both"/>
      </w:pPr>
      <w:r>
        <w:rPr>
          <w:bCs/>
        </w:rPr>
        <w:t>Indoor scenario (</w:t>
      </w:r>
      <w:proofErr w:type="spellStart"/>
      <w:r>
        <w:rPr>
          <w:bCs/>
        </w:rPr>
        <w:t>InH</w:t>
      </w:r>
      <w:proofErr w:type="spellEnd"/>
      <w:r>
        <w:rPr>
          <w:bCs/>
        </w:rPr>
        <w:t>):</w:t>
      </w:r>
      <w:r w:rsidR="00FD3667" w:rsidRPr="00C14E45">
        <w:rPr>
          <w:bCs/>
        </w:rPr>
        <w:t xml:space="preserve"> </w:t>
      </w:r>
      <w:r>
        <w:rPr>
          <w:bCs/>
        </w:rPr>
        <w:t xml:space="preserve">it </w:t>
      </w:r>
      <w:r w:rsidR="00FD3667" w:rsidRPr="00C14E45">
        <w:rPr>
          <w:bCs/>
        </w:rPr>
        <w:t>can be used as is</w:t>
      </w:r>
      <w:r>
        <w:rPr>
          <w:bCs/>
        </w:rPr>
        <w:t>, i.e. as defined in TR 38.803</w:t>
      </w:r>
      <w:r w:rsidR="00FD3667" w:rsidRPr="00C14E45">
        <w:rPr>
          <w:bCs/>
        </w:rPr>
        <w:t>.</w:t>
      </w:r>
    </w:p>
    <w:p w:rsidR="00035355" w:rsidRPr="00035355" w:rsidRDefault="00C14E45" w:rsidP="00343C03">
      <w:pPr>
        <w:pStyle w:val="ListParagraph"/>
        <w:numPr>
          <w:ilvl w:val="0"/>
          <w:numId w:val="41"/>
        </w:numPr>
        <w:jc w:val="both"/>
      </w:pPr>
      <w:r>
        <w:rPr>
          <w:bCs/>
        </w:rPr>
        <w:t>Urban Micro (</w:t>
      </w:r>
      <w:proofErr w:type="spellStart"/>
      <w:r>
        <w:rPr>
          <w:bCs/>
        </w:rPr>
        <w:t>UMi</w:t>
      </w:r>
      <w:proofErr w:type="spellEnd"/>
      <w:r>
        <w:rPr>
          <w:bCs/>
        </w:rPr>
        <w:t xml:space="preserve">): </w:t>
      </w:r>
      <w:proofErr w:type="spellStart"/>
      <w:r>
        <w:rPr>
          <w:bCs/>
        </w:rPr>
        <w:t>UMi</w:t>
      </w:r>
      <w:proofErr w:type="spellEnd"/>
      <w:r>
        <w:rPr>
          <w:bCs/>
        </w:rPr>
        <w:t xml:space="preserve"> is a relevant deployment scenario, however the way</w:t>
      </w:r>
      <w:r w:rsidR="00343C03">
        <w:rPr>
          <w:bCs/>
        </w:rPr>
        <w:t xml:space="preserve"> it</w:t>
      </w:r>
      <w:r>
        <w:rPr>
          <w:bCs/>
        </w:rPr>
        <w:t xml:space="preserve"> is</w:t>
      </w:r>
      <w:r w:rsidR="00343C03">
        <w:rPr>
          <w:bCs/>
        </w:rPr>
        <w:t xml:space="preserve"> currently defined </w:t>
      </w:r>
      <w:r>
        <w:rPr>
          <w:bCs/>
        </w:rPr>
        <w:t xml:space="preserve">does not match well a typical deployment. </w:t>
      </w:r>
      <w:proofErr w:type="gramStart"/>
      <w:r>
        <w:rPr>
          <w:bCs/>
        </w:rPr>
        <w:t>First of all</w:t>
      </w:r>
      <w:proofErr w:type="gramEnd"/>
      <w:r>
        <w:rPr>
          <w:bCs/>
        </w:rPr>
        <w:t>, a Manhattan grid</w:t>
      </w:r>
      <w:r w:rsidR="00343C03">
        <w:rPr>
          <w:bCs/>
        </w:rPr>
        <w:t>,</w:t>
      </w:r>
      <w:r>
        <w:rPr>
          <w:bCs/>
        </w:rPr>
        <w:t xml:space="preserve"> which is typical of dense urban deployments</w:t>
      </w:r>
      <w:r w:rsidR="00343C03">
        <w:rPr>
          <w:bCs/>
        </w:rPr>
        <w:t>,</w:t>
      </w:r>
      <w:r>
        <w:rPr>
          <w:bCs/>
        </w:rPr>
        <w:t xml:space="preserve"> is not considered. Furthermore, the layout consists of 3 base stations dropped in one hexagonal cell. The hexagonal cells </w:t>
      </w:r>
      <w:r w:rsidR="00581382">
        <w:rPr>
          <w:bCs/>
        </w:rPr>
        <w:t>correspond</w:t>
      </w:r>
      <w:r>
        <w:rPr>
          <w:bCs/>
        </w:rPr>
        <w:t xml:space="preserve"> to Macro layer ISD distance of 200m. Because of the way the </w:t>
      </w:r>
      <w:proofErr w:type="spellStart"/>
      <w:r>
        <w:rPr>
          <w:bCs/>
        </w:rPr>
        <w:t>UMi</w:t>
      </w:r>
      <w:proofErr w:type="spellEnd"/>
      <w:r>
        <w:rPr>
          <w:bCs/>
        </w:rPr>
        <w:t xml:space="preserve"> layout is defined (there are three circles </w:t>
      </w:r>
      <w:r w:rsidR="00035355">
        <w:rPr>
          <w:bCs/>
        </w:rPr>
        <w:t>within</w:t>
      </w:r>
      <w:r>
        <w:rPr>
          <w:bCs/>
        </w:rPr>
        <w:t xml:space="preserve"> one Macro hexagonal sectors</w:t>
      </w:r>
      <w:r w:rsidR="00035355">
        <w:rPr>
          <w:bCs/>
        </w:rPr>
        <w:t xml:space="preserve"> and each Micro base station is randomly placed on the edge of one circle</w:t>
      </w:r>
      <w:r>
        <w:rPr>
          <w:bCs/>
        </w:rPr>
        <w:t xml:space="preserve">) </w:t>
      </w:r>
      <w:r w:rsidR="00035355">
        <w:rPr>
          <w:bCs/>
        </w:rPr>
        <w:t xml:space="preserve">the resulting </w:t>
      </w:r>
      <w:proofErr w:type="spellStart"/>
      <w:r w:rsidR="00035355">
        <w:rPr>
          <w:bCs/>
        </w:rPr>
        <w:t>UMi</w:t>
      </w:r>
      <w:proofErr w:type="spellEnd"/>
      <w:r w:rsidR="00035355">
        <w:rPr>
          <w:bCs/>
        </w:rPr>
        <w:t xml:space="preserve"> ISD is very small and not meaningful to understand the coverage impact in urban dense deployment</w:t>
      </w:r>
      <w:r>
        <w:rPr>
          <w:bCs/>
        </w:rPr>
        <w:t>.</w:t>
      </w:r>
      <w:r w:rsidR="00035355">
        <w:rPr>
          <w:bCs/>
        </w:rPr>
        <w:t xml:space="preserve"> Our proposal is to still use 10m antenna height BS and </w:t>
      </w:r>
      <w:proofErr w:type="spellStart"/>
      <w:r w:rsidR="00035355">
        <w:rPr>
          <w:bCs/>
        </w:rPr>
        <w:t>UMi</w:t>
      </w:r>
      <w:proofErr w:type="spellEnd"/>
      <w:r w:rsidR="00035355">
        <w:rPr>
          <w:bCs/>
        </w:rPr>
        <w:t xml:space="preserve"> path loss model, but revising the layout. </w:t>
      </w:r>
      <w:proofErr w:type="gramStart"/>
      <w:r w:rsidR="00035355">
        <w:rPr>
          <w:bCs/>
        </w:rPr>
        <w:t>In particular, using</w:t>
      </w:r>
      <w:proofErr w:type="gramEnd"/>
      <w:r w:rsidR="00035355">
        <w:rPr>
          <w:bCs/>
        </w:rPr>
        <w:t xml:space="preserve"> </w:t>
      </w:r>
      <w:r w:rsidR="00343C03">
        <w:rPr>
          <w:bCs/>
        </w:rPr>
        <w:t>a</w:t>
      </w:r>
      <w:r w:rsidR="00035355">
        <w:rPr>
          <w:bCs/>
        </w:rPr>
        <w:t xml:space="preserve"> hexagonal layout with variable ISD.</w:t>
      </w:r>
    </w:p>
    <w:p w:rsidR="00C14E45" w:rsidRPr="00035355" w:rsidRDefault="00035355" w:rsidP="00343C03">
      <w:pPr>
        <w:pStyle w:val="ListParagraph"/>
        <w:numPr>
          <w:ilvl w:val="0"/>
          <w:numId w:val="41"/>
        </w:numPr>
        <w:jc w:val="both"/>
      </w:pPr>
      <w:r>
        <w:rPr>
          <w:bCs/>
        </w:rPr>
        <w:t>Urban Macro (</w:t>
      </w:r>
      <w:proofErr w:type="spellStart"/>
      <w:r>
        <w:rPr>
          <w:bCs/>
        </w:rPr>
        <w:t>U</w:t>
      </w:r>
      <w:r w:rsidR="00343C03">
        <w:rPr>
          <w:bCs/>
        </w:rPr>
        <w:t>M</w:t>
      </w:r>
      <w:r>
        <w:rPr>
          <w:bCs/>
        </w:rPr>
        <w:t>a</w:t>
      </w:r>
      <w:proofErr w:type="spellEnd"/>
      <w:r>
        <w:rPr>
          <w:bCs/>
        </w:rPr>
        <w:t xml:space="preserve">): this scenario can be used as defined in TR 38.803, however we propose to modify ISD and number of outdoor UEs. </w:t>
      </w:r>
      <w:proofErr w:type="gramStart"/>
      <w:r>
        <w:rPr>
          <w:bCs/>
        </w:rPr>
        <w:t>In particular, ISD</w:t>
      </w:r>
      <w:proofErr w:type="gramEnd"/>
      <w:r>
        <w:rPr>
          <w:bCs/>
        </w:rPr>
        <w:t xml:space="preserve"> can be increased and the coverage of outdoor UEs can be estimated, i.e. a situation in which all UE are outdoor. </w:t>
      </w:r>
      <w:r w:rsidR="00C14E45">
        <w:rPr>
          <w:bCs/>
        </w:rPr>
        <w:t xml:space="preserve">  </w:t>
      </w:r>
    </w:p>
    <w:p w:rsidR="00035355" w:rsidRDefault="00035355" w:rsidP="00343C03">
      <w:pPr>
        <w:jc w:val="both"/>
      </w:pPr>
      <w:r>
        <w:t xml:space="preserve">As just mentioned, for both </w:t>
      </w:r>
      <w:proofErr w:type="spellStart"/>
      <w:r>
        <w:t>UMi</w:t>
      </w:r>
      <w:proofErr w:type="spellEnd"/>
      <w:r>
        <w:t xml:space="preserve"> and </w:t>
      </w:r>
      <w:proofErr w:type="spellStart"/>
      <w:r>
        <w:t>UMa</w:t>
      </w:r>
      <w:proofErr w:type="spellEnd"/>
      <w:r>
        <w:t xml:space="preserve">, it is important to understand the capability to cover outdoor UEs. </w:t>
      </w:r>
      <w:r w:rsidR="00343C03">
        <w:t>Therefore,</w:t>
      </w:r>
      <w:r w:rsidR="00581382">
        <w:t xml:space="preserve"> we propose</w:t>
      </w:r>
      <w:r>
        <w:t xml:space="preserve"> to evaluate one configuration with outdoor </w:t>
      </w:r>
      <w:r w:rsidR="00581382">
        <w:t>UEs only</w:t>
      </w:r>
      <w:r>
        <w:t xml:space="preserve"> </w:t>
      </w:r>
      <w:r w:rsidR="00B700A3">
        <w:t>and other configura</w:t>
      </w:r>
      <w:r w:rsidR="00673A75">
        <w:t xml:space="preserve">tions with </w:t>
      </w:r>
      <w:r w:rsidR="00581382">
        <w:t xml:space="preserve">a percentage of </w:t>
      </w:r>
      <w:r w:rsidR="00673A75">
        <w:t>indoor UEs (20% and 8</w:t>
      </w:r>
      <w:r w:rsidR="00B700A3">
        <w:t xml:space="preserve">0% indoor ratio, for instance). Finally, we propose to reduce the UE-BS minimum distance, </w:t>
      </w:r>
      <w:r w:rsidR="00581382">
        <w:t>namely</w:t>
      </w:r>
      <w:r w:rsidR="00B700A3">
        <w:t xml:space="preserve"> 10m and 25m for </w:t>
      </w:r>
      <w:proofErr w:type="spellStart"/>
      <w:r w:rsidR="00B700A3">
        <w:t>UMi</w:t>
      </w:r>
      <w:proofErr w:type="spellEnd"/>
      <w:r w:rsidR="00B700A3">
        <w:t xml:space="preserve"> and </w:t>
      </w:r>
      <w:proofErr w:type="spellStart"/>
      <w:r w:rsidR="00B700A3">
        <w:t>UMa</w:t>
      </w:r>
      <w:proofErr w:type="spellEnd"/>
      <w:r w:rsidR="00B700A3">
        <w:t>, respectively.</w:t>
      </w:r>
    </w:p>
    <w:p w:rsidR="00B700A3" w:rsidRDefault="00B700A3" w:rsidP="009A7325">
      <w:pPr>
        <w:jc w:val="both"/>
      </w:pPr>
      <w:r>
        <w:t>Proposal 1 summarizes our view for deployment scenarios:</w:t>
      </w:r>
    </w:p>
    <w:p w:rsidR="00B700A3" w:rsidRPr="009B4E0B" w:rsidRDefault="00B700A3" w:rsidP="009A7325">
      <w:pPr>
        <w:jc w:val="both"/>
        <w:rPr>
          <w:b/>
          <w:i/>
        </w:rPr>
      </w:pPr>
      <w:r w:rsidRPr="009B4E0B">
        <w:rPr>
          <w:b/>
          <w:i/>
        </w:rPr>
        <w:t xml:space="preserve">Proposal 1: </w:t>
      </w:r>
      <w:r w:rsidR="00213BA0" w:rsidRPr="009B4E0B">
        <w:rPr>
          <w:b/>
          <w:i/>
        </w:rPr>
        <w:t>to evaluate the impact of UE peak EIRP and spherical coverage</w:t>
      </w:r>
      <w:r w:rsidR="00D03D77" w:rsidRPr="009B4E0B">
        <w:rPr>
          <w:b/>
          <w:i/>
        </w:rPr>
        <w:t xml:space="preserve"> to NR network performance, the following deployment scenarios should be considered:</w:t>
      </w:r>
    </w:p>
    <w:p w:rsidR="00D03D77" w:rsidRPr="009B4E0B" w:rsidRDefault="00D03D77" w:rsidP="009A7325">
      <w:pPr>
        <w:pStyle w:val="ListParagraph"/>
        <w:numPr>
          <w:ilvl w:val="0"/>
          <w:numId w:val="42"/>
        </w:numPr>
        <w:jc w:val="both"/>
        <w:rPr>
          <w:b/>
          <w:i/>
        </w:rPr>
      </w:pPr>
      <w:r w:rsidRPr="009B4E0B">
        <w:rPr>
          <w:b/>
          <w:i/>
        </w:rPr>
        <w:t>Indoor Deployment: as defined in TR 38.803.</w:t>
      </w:r>
    </w:p>
    <w:p w:rsidR="00D03D77" w:rsidRPr="009B4E0B" w:rsidRDefault="00D03D77" w:rsidP="009A7325">
      <w:pPr>
        <w:pStyle w:val="ListParagraph"/>
        <w:numPr>
          <w:ilvl w:val="0"/>
          <w:numId w:val="42"/>
        </w:numPr>
        <w:jc w:val="both"/>
        <w:rPr>
          <w:b/>
          <w:i/>
        </w:rPr>
      </w:pPr>
      <w:r w:rsidRPr="009B4E0B">
        <w:rPr>
          <w:b/>
          <w:i/>
        </w:rPr>
        <w:t>Urban Micro Deployment: based on TR 38.803 but with the following comments/modifications:</w:t>
      </w:r>
    </w:p>
    <w:p w:rsidR="00D03D77" w:rsidRPr="009B4E0B" w:rsidRDefault="00D03D77" w:rsidP="009A7325">
      <w:pPr>
        <w:pStyle w:val="ListParagraph"/>
        <w:numPr>
          <w:ilvl w:val="1"/>
          <w:numId w:val="42"/>
        </w:numPr>
        <w:jc w:val="both"/>
        <w:rPr>
          <w:b/>
          <w:i/>
        </w:rPr>
      </w:pPr>
      <w:r w:rsidRPr="009B4E0B">
        <w:rPr>
          <w:b/>
          <w:i/>
        </w:rPr>
        <w:t>Layout is hexagonal with ISD ranging from 100m to 400m</w:t>
      </w:r>
    </w:p>
    <w:p w:rsidR="00D03D77" w:rsidRPr="009B4E0B" w:rsidRDefault="00D03D77" w:rsidP="009A7325">
      <w:pPr>
        <w:pStyle w:val="ListParagraph"/>
        <w:numPr>
          <w:ilvl w:val="1"/>
          <w:numId w:val="42"/>
        </w:numPr>
        <w:jc w:val="both"/>
        <w:rPr>
          <w:b/>
          <w:i/>
        </w:rPr>
      </w:pPr>
      <w:r w:rsidRPr="009B4E0B">
        <w:rPr>
          <w:b/>
          <w:i/>
        </w:rPr>
        <w:t xml:space="preserve">BS configuration is same as defined in TR 38.803 (same </w:t>
      </w:r>
      <w:r w:rsidR="00B54244">
        <w:rPr>
          <w:b/>
          <w:i/>
        </w:rPr>
        <w:t xml:space="preserve">EIRP, same </w:t>
      </w:r>
      <w:r w:rsidRPr="009B4E0B">
        <w:rPr>
          <w:b/>
          <w:i/>
        </w:rPr>
        <w:t xml:space="preserve">antenna configuration and 10m height) </w:t>
      </w:r>
    </w:p>
    <w:p w:rsidR="00D03D77" w:rsidRPr="009B4E0B" w:rsidRDefault="00D03D77" w:rsidP="009A7325">
      <w:pPr>
        <w:pStyle w:val="ListParagraph"/>
        <w:numPr>
          <w:ilvl w:val="1"/>
          <w:numId w:val="42"/>
        </w:numPr>
        <w:jc w:val="both"/>
        <w:rPr>
          <w:b/>
          <w:i/>
        </w:rPr>
      </w:pPr>
      <w:r w:rsidRPr="009B4E0B">
        <w:rPr>
          <w:b/>
          <w:i/>
        </w:rPr>
        <w:t xml:space="preserve">Path loss model same as </w:t>
      </w:r>
      <w:proofErr w:type="spellStart"/>
      <w:r w:rsidRPr="009B4E0B">
        <w:rPr>
          <w:b/>
          <w:i/>
        </w:rPr>
        <w:t>UMi</w:t>
      </w:r>
      <w:proofErr w:type="spellEnd"/>
      <w:r w:rsidRPr="009B4E0B">
        <w:rPr>
          <w:b/>
          <w:i/>
        </w:rPr>
        <w:t xml:space="preserve"> </w:t>
      </w:r>
      <w:r w:rsidR="00C5504C">
        <w:rPr>
          <w:b/>
          <w:i/>
        </w:rPr>
        <w:t>defined in TR 38.803</w:t>
      </w:r>
    </w:p>
    <w:p w:rsidR="00D03D77" w:rsidRPr="009B4E0B" w:rsidRDefault="00D03D77" w:rsidP="009A7325">
      <w:pPr>
        <w:pStyle w:val="ListParagraph"/>
        <w:numPr>
          <w:ilvl w:val="1"/>
          <w:numId w:val="42"/>
        </w:numPr>
        <w:jc w:val="both"/>
        <w:rPr>
          <w:b/>
          <w:i/>
        </w:rPr>
      </w:pPr>
      <w:r w:rsidRPr="009B4E0B">
        <w:rPr>
          <w:b/>
          <w:i/>
        </w:rPr>
        <w:t>UE-BS minimum distance (2D): 10m</w:t>
      </w:r>
    </w:p>
    <w:p w:rsidR="00D03D77" w:rsidRPr="009B4E0B" w:rsidRDefault="00D03D77" w:rsidP="009A7325">
      <w:pPr>
        <w:pStyle w:val="ListParagraph"/>
        <w:numPr>
          <w:ilvl w:val="1"/>
          <w:numId w:val="42"/>
        </w:numPr>
        <w:jc w:val="both"/>
        <w:rPr>
          <w:b/>
          <w:i/>
        </w:rPr>
      </w:pPr>
      <w:r w:rsidRPr="009B4E0B">
        <w:rPr>
          <w:b/>
          <w:i/>
        </w:rPr>
        <w:t>UE indoor/outdoor ratio:</w:t>
      </w:r>
    </w:p>
    <w:p w:rsidR="00D03D77" w:rsidRPr="009B4E0B" w:rsidRDefault="00D03D77" w:rsidP="009A7325">
      <w:pPr>
        <w:pStyle w:val="ListParagraph"/>
        <w:numPr>
          <w:ilvl w:val="2"/>
          <w:numId w:val="42"/>
        </w:numPr>
        <w:jc w:val="both"/>
        <w:rPr>
          <w:b/>
          <w:i/>
        </w:rPr>
      </w:pPr>
      <w:r w:rsidRPr="009B4E0B">
        <w:rPr>
          <w:b/>
          <w:i/>
        </w:rPr>
        <w:t>0% (baseline)</w:t>
      </w:r>
    </w:p>
    <w:p w:rsidR="00D03D77" w:rsidRPr="009B4E0B" w:rsidRDefault="00D03D77" w:rsidP="009A7325">
      <w:pPr>
        <w:pStyle w:val="ListParagraph"/>
        <w:numPr>
          <w:ilvl w:val="2"/>
          <w:numId w:val="42"/>
        </w:numPr>
        <w:jc w:val="both"/>
        <w:rPr>
          <w:b/>
          <w:i/>
        </w:rPr>
      </w:pPr>
      <w:r w:rsidRPr="009B4E0B">
        <w:rPr>
          <w:b/>
          <w:i/>
        </w:rPr>
        <w:t>20% (baseline)</w:t>
      </w:r>
    </w:p>
    <w:p w:rsidR="00D03D77" w:rsidRPr="009B4E0B" w:rsidRDefault="00155C2D" w:rsidP="009A7325">
      <w:pPr>
        <w:pStyle w:val="ListParagraph"/>
        <w:numPr>
          <w:ilvl w:val="2"/>
          <w:numId w:val="42"/>
        </w:numPr>
        <w:jc w:val="both"/>
        <w:rPr>
          <w:b/>
          <w:i/>
        </w:rPr>
      </w:pPr>
      <w:r>
        <w:rPr>
          <w:b/>
          <w:i/>
        </w:rPr>
        <w:t>8</w:t>
      </w:r>
      <w:r w:rsidR="00D03D77" w:rsidRPr="009B4E0B">
        <w:rPr>
          <w:b/>
          <w:i/>
        </w:rPr>
        <w:t>0% (</w:t>
      </w:r>
      <w:r w:rsidR="00581382">
        <w:rPr>
          <w:b/>
          <w:i/>
        </w:rPr>
        <w:t>optional</w:t>
      </w:r>
      <w:r w:rsidR="00D03D77" w:rsidRPr="009B4E0B">
        <w:rPr>
          <w:b/>
          <w:i/>
        </w:rPr>
        <w:t>)</w:t>
      </w:r>
    </w:p>
    <w:p w:rsidR="00D03D77" w:rsidRPr="009B4E0B" w:rsidRDefault="00D03D77" w:rsidP="009A7325">
      <w:pPr>
        <w:pStyle w:val="ListParagraph"/>
        <w:numPr>
          <w:ilvl w:val="0"/>
          <w:numId w:val="42"/>
        </w:numPr>
        <w:jc w:val="both"/>
        <w:rPr>
          <w:b/>
          <w:i/>
        </w:rPr>
      </w:pPr>
      <w:r w:rsidRPr="009B4E0B">
        <w:rPr>
          <w:b/>
          <w:i/>
        </w:rPr>
        <w:t>Urban Macro Deployment: based on TR 38.803 but with the following comments/modifications:</w:t>
      </w:r>
    </w:p>
    <w:p w:rsidR="00D03D77" w:rsidRPr="009B4E0B" w:rsidRDefault="00D03D77" w:rsidP="009A7325">
      <w:pPr>
        <w:pStyle w:val="ListParagraph"/>
        <w:numPr>
          <w:ilvl w:val="1"/>
          <w:numId w:val="42"/>
        </w:numPr>
        <w:jc w:val="both"/>
        <w:rPr>
          <w:b/>
          <w:i/>
        </w:rPr>
      </w:pPr>
      <w:r w:rsidRPr="009B4E0B">
        <w:rPr>
          <w:b/>
          <w:i/>
        </w:rPr>
        <w:t>ISD ranging from 200m to 500m</w:t>
      </w:r>
    </w:p>
    <w:p w:rsidR="00D03D77" w:rsidRPr="009B4E0B" w:rsidRDefault="00D03D77" w:rsidP="009A7325">
      <w:pPr>
        <w:pStyle w:val="ListParagraph"/>
        <w:numPr>
          <w:ilvl w:val="1"/>
          <w:numId w:val="42"/>
        </w:numPr>
        <w:jc w:val="both"/>
        <w:rPr>
          <w:b/>
          <w:i/>
        </w:rPr>
      </w:pPr>
      <w:r w:rsidRPr="009B4E0B">
        <w:rPr>
          <w:b/>
          <w:i/>
        </w:rPr>
        <w:t>BS configuration is same as defined in TR 38.803</w:t>
      </w:r>
      <w:r w:rsidR="00B54244">
        <w:rPr>
          <w:b/>
          <w:i/>
        </w:rPr>
        <w:t xml:space="preserve"> (</w:t>
      </w:r>
      <w:r w:rsidR="00B54244" w:rsidRPr="009B4E0B">
        <w:rPr>
          <w:b/>
          <w:i/>
        </w:rPr>
        <w:t xml:space="preserve">same </w:t>
      </w:r>
      <w:r w:rsidR="00B54244">
        <w:rPr>
          <w:b/>
          <w:i/>
        </w:rPr>
        <w:t>EIRP, same</w:t>
      </w:r>
      <w:r w:rsidRPr="009B4E0B">
        <w:rPr>
          <w:b/>
          <w:i/>
        </w:rPr>
        <w:t xml:space="preserve"> configuration and 25m height) </w:t>
      </w:r>
    </w:p>
    <w:p w:rsidR="00D03D77" w:rsidRPr="009B4E0B" w:rsidRDefault="00D03D77" w:rsidP="009A7325">
      <w:pPr>
        <w:pStyle w:val="ListParagraph"/>
        <w:numPr>
          <w:ilvl w:val="1"/>
          <w:numId w:val="42"/>
        </w:numPr>
        <w:jc w:val="both"/>
        <w:rPr>
          <w:b/>
          <w:i/>
        </w:rPr>
      </w:pPr>
      <w:r w:rsidRPr="009B4E0B">
        <w:rPr>
          <w:b/>
          <w:i/>
        </w:rPr>
        <w:t xml:space="preserve">Path </w:t>
      </w:r>
      <w:r w:rsidR="009B4E0B" w:rsidRPr="009B4E0B">
        <w:rPr>
          <w:b/>
          <w:i/>
        </w:rPr>
        <w:t xml:space="preserve">loss model same as </w:t>
      </w:r>
      <w:proofErr w:type="spellStart"/>
      <w:r w:rsidR="009B4E0B" w:rsidRPr="009B4E0B">
        <w:rPr>
          <w:b/>
          <w:i/>
        </w:rPr>
        <w:t>UMa</w:t>
      </w:r>
      <w:proofErr w:type="spellEnd"/>
      <w:r w:rsidRPr="009B4E0B">
        <w:rPr>
          <w:b/>
          <w:i/>
        </w:rPr>
        <w:t xml:space="preserve"> </w:t>
      </w:r>
      <w:r w:rsidR="00C5504C">
        <w:rPr>
          <w:b/>
          <w:i/>
        </w:rPr>
        <w:t>defined in TR 38.803</w:t>
      </w:r>
    </w:p>
    <w:p w:rsidR="00D03D77" w:rsidRPr="009B4E0B" w:rsidRDefault="00D03D77" w:rsidP="009A7325">
      <w:pPr>
        <w:pStyle w:val="ListParagraph"/>
        <w:numPr>
          <w:ilvl w:val="1"/>
          <w:numId w:val="42"/>
        </w:numPr>
        <w:jc w:val="both"/>
        <w:rPr>
          <w:b/>
          <w:i/>
        </w:rPr>
      </w:pPr>
      <w:r w:rsidRPr="009B4E0B">
        <w:rPr>
          <w:b/>
          <w:i/>
        </w:rPr>
        <w:t>UE-BS</w:t>
      </w:r>
      <w:r w:rsidR="009B4E0B" w:rsidRPr="009B4E0B">
        <w:rPr>
          <w:b/>
          <w:i/>
        </w:rPr>
        <w:t xml:space="preserve"> minimum distance (2D): 25m</w:t>
      </w:r>
    </w:p>
    <w:p w:rsidR="00D03D77" w:rsidRPr="009B4E0B" w:rsidRDefault="00D03D77" w:rsidP="009A7325">
      <w:pPr>
        <w:pStyle w:val="ListParagraph"/>
        <w:numPr>
          <w:ilvl w:val="1"/>
          <w:numId w:val="42"/>
        </w:numPr>
        <w:jc w:val="both"/>
        <w:rPr>
          <w:b/>
          <w:i/>
        </w:rPr>
      </w:pPr>
      <w:r w:rsidRPr="009B4E0B">
        <w:rPr>
          <w:b/>
          <w:i/>
        </w:rPr>
        <w:t>UE indoor/outdoor ratio:</w:t>
      </w:r>
    </w:p>
    <w:p w:rsidR="00D03D77" w:rsidRPr="009B4E0B" w:rsidRDefault="00D03D77" w:rsidP="009A7325">
      <w:pPr>
        <w:pStyle w:val="ListParagraph"/>
        <w:numPr>
          <w:ilvl w:val="2"/>
          <w:numId w:val="42"/>
        </w:numPr>
        <w:jc w:val="both"/>
        <w:rPr>
          <w:b/>
          <w:i/>
        </w:rPr>
      </w:pPr>
      <w:r w:rsidRPr="009B4E0B">
        <w:rPr>
          <w:b/>
          <w:i/>
        </w:rPr>
        <w:t>0% (baseline)</w:t>
      </w:r>
    </w:p>
    <w:p w:rsidR="00D03D77" w:rsidRPr="009B4E0B" w:rsidRDefault="00D03D77" w:rsidP="009A7325">
      <w:pPr>
        <w:pStyle w:val="ListParagraph"/>
        <w:numPr>
          <w:ilvl w:val="2"/>
          <w:numId w:val="42"/>
        </w:numPr>
        <w:jc w:val="both"/>
        <w:rPr>
          <w:b/>
          <w:i/>
        </w:rPr>
      </w:pPr>
      <w:r w:rsidRPr="009B4E0B">
        <w:rPr>
          <w:b/>
          <w:i/>
        </w:rPr>
        <w:t>20% (baseline)</w:t>
      </w:r>
    </w:p>
    <w:p w:rsidR="00D03D77" w:rsidRPr="009B4E0B" w:rsidRDefault="00581382" w:rsidP="009A7325">
      <w:pPr>
        <w:pStyle w:val="ListParagraph"/>
        <w:numPr>
          <w:ilvl w:val="2"/>
          <w:numId w:val="42"/>
        </w:numPr>
        <w:jc w:val="both"/>
        <w:rPr>
          <w:b/>
          <w:i/>
        </w:rPr>
      </w:pPr>
      <w:r>
        <w:rPr>
          <w:b/>
          <w:i/>
        </w:rPr>
        <w:t>8</w:t>
      </w:r>
      <w:r w:rsidR="00D03D77" w:rsidRPr="009B4E0B">
        <w:rPr>
          <w:b/>
          <w:i/>
        </w:rPr>
        <w:t>0% (optional)</w:t>
      </w:r>
    </w:p>
    <w:p w:rsidR="009B4E0B" w:rsidRDefault="009B4E0B" w:rsidP="009B4E0B">
      <w:pPr>
        <w:pStyle w:val="Heading2"/>
        <w:rPr>
          <w:lang w:val="en-US"/>
        </w:rPr>
      </w:pPr>
      <w:r>
        <w:rPr>
          <w:lang w:val="en-US"/>
        </w:rPr>
        <w:t>Proposed modifications of UE settings</w:t>
      </w:r>
    </w:p>
    <w:p w:rsidR="00D03D77" w:rsidRDefault="009B4E0B" w:rsidP="009A7325">
      <w:pPr>
        <w:jc w:val="both"/>
      </w:pPr>
      <w:r w:rsidRPr="009B4E0B">
        <w:t xml:space="preserve">In </w:t>
      </w:r>
      <w:r>
        <w:t xml:space="preserve">addition to the updated deployment scenarios, we proposed to adopt the following modifications to represent a more realistic UE </w:t>
      </w:r>
      <w:r w:rsidR="00343C03">
        <w:t>behaviour</w:t>
      </w:r>
      <w:r>
        <w:t xml:space="preserve"> compared </w:t>
      </w:r>
      <w:r w:rsidR="00831AE8">
        <w:t>to the assumptions in TR 38.803:</w:t>
      </w:r>
    </w:p>
    <w:p w:rsidR="00831AE8" w:rsidRDefault="00831AE8" w:rsidP="009A7325">
      <w:pPr>
        <w:pStyle w:val="ListParagraph"/>
        <w:numPr>
          <w:ilvl w:val="0"/>
          <w:numId w:val="44"/>
        </w:numPr>
        <w:jc w:val="both"/>
      </w:pPr>
      <w:r>
        <w:lastRenderedPageBreak/>
        <w:t xml:space="preserve">UE resource allocation: a reduced allocation, down to 20MHz can be simulated </w:t>
      </w:r>
      <w:proofErr w:type="gramStart"/>
      <w:r>
        <w:t>in order to</w:t>
      </w:r>
      <w:proofErr w:type="gramEnd"/>
      <w:r>
        <w:t xml:space="preserve"> increase coverage in noise limited scenarios (this is compared to 200MHz adopted in TR 38.803)</w:t>
      </w:r>
    </w:p>
    <w:p w:rsidR="00831AE8" w:rsidRDefault="00831AE8" w:rsidP="009A7325">
      <w:pPr>
        <w:pStyle w:val="ListParagraph"/>
        <w:numPr>
          <w:ilvl w:val="0"/>
          <w:numId w:val="44"/>
        </w:numPr>
        <w:jc w:val="both"/>
      </w:pPr>
      <w:r>
        <w:t>Power Control:</w:t>
      </w:r>
      <w:r>
        <w:tab/>
        <w:t xml:space="preserve">PC set in TR 38.803 is targeting to 15dB. It should be </w:t>
      </w:r>
      <w:r w:rsidR="00343C03">
        <w:t>updated</w:t>
      </w:r>
      <w:r>
        <w:t xml:space="preserve"> to target at least 22dB which is the maximum SINR agreed in TR 38.803 tables. </w:t>
      </w:r>
    </w:p>
    <w:p w:rsidR="00DE075A" w:rsidRDefault="00831AE8" w:rsidP="009A7325">
      <w:pPr>
        <w:pStyle w:val="ListParagraph"/>
        <w:numPr>
          <w:ilvl w:val="0"/>
          <w:numId w:val="44"/>
        </w:numPr>
        <w:jc w:val="both"/>
      </w:pPr>
      <w:r>
        <w:t xml:space="preserve">UE elevation. </w:t>
      </w:r>
      <w:r w:rsidR="008C0D05">
        <w:t xml:space="preserve">In 38.803 </w:t>
      </w:r>
      <w:r w:rsidR="00DE075A">
        <w:t xml:space="preserve">a fixed elevation of 90 degrees was assumed for UE, i.e. UE panels </w:t>
      </w:r>
      <w:r w:rsidR="00343C03">
        <w:t>are</w:t>
      </w:r>
      <w:r w:rsidR="00DE075A">
        <w:t xml:space="preserve"> pointing at horizon. We propose to update </w:t>
      </w:r>
      <w:r w:rsidR="009A7325">
        <w:t>this</w:t>
      </w:r>
      <w:r w:rsidR="00C5504C">
        <w:t xml:space="preserve"> assumption</w:t>
      </w:r>
      <w:r w:rsidR="00DE075A">
        <w:t xml:space="preserve"> considering the following two options:</w:t>
      </w:r>
    </w:p>
    <w:p w:rsidR="00DE075A" w:rsidRDefault="00831AE8" w:rsidP="009A7325">
      <w:pPr>
        <w:pStyle w:val="ListParagraph"/>
        <w:numPr>
          <w:ilvl w:val="1"/>
          <w:numId w:val="44"/>
        </w:numPr>
        <w:jc w:val="both"/>
      </w:pPr>
      <w:r>
        <w:t>Random distribution (uniform from 0 to 180)</w:t>
      </w:r>
      <w:r w:rsidR="00D16B3A">
        <w:t>.</w:t>
      </w:r>
    </w:p>
    <w:p w:rsidR="00831AE8" w:rsidRDefault="00831AE8" w:rsidP="009A7325">
      <w:pPr>
        <w:pStyle w:val="ListParagraph"/>
        <w:numPr>
          <w:ilvl w:val="1"/>
          <w:numId w:val="44"/>
        </w:numPr>
        <w:jc w:val="both"/>
      </w:pPr>
      <w:r>
        <w:t xml:space="preserve">Gaussian distribution, with parametric mean and variance. For </w:t>
      </w:r>
      <w:r w:rsidR="00343C03">
        <w:t>instance,</w:t>
      </w:r>
      <w:r>
        <w:t xml:space="preserve"> mean=45 degrees and variance 10 degrees</w:t>
      </w:r>
      <w:r w:rsidR="00DE075A">
        <w:t>,</w:t>
      </w:r>
      <w:r>
        <w:t xml:space="preserve"> mean that UE is tilted compared to the ground with an average value of 45 degrees and sigma=10 degrees</w:t>
      </w:r>
      <w:r w:rsidR="00D16B3A">
        <w:t>.</w:t>
      </w:r>
    </w:p>
    <w:p w:rsidR="002924EC" w:rsidRPr="00DA1F34" w:rsidRDefault="002924EC" w:rsidP="009A7325">
      <w:pPr>
        <w:pStyle w:val="ListParagraph"/>
        <w:numPr>
          <w:ilvl w:val="0"/>
          <w:numId w:val="44"/>
        </w:numPr>
        <w:jc w:val="both"/>
      </w:pPr>
      <w:r w:rsidRPr="00DA1F34">
        <w:t>Back-side suppression</w:t>
      </w:r>
      <w:r w:rsidR="001225A0" w:rsidRPr="00DA1F34">
        <w:t xml:space="preserve">. </w:t>
      </w:r>
      <w:r w:rsidR="00FA5BF3" w:rsidRPr="00DA1F34">
        <w:t xml:space="preserve">One important aspects to be clarified, especially in relation to the evaluation of spherical coverage impact, is the antenna radiation in the semi sphere opposite to boresight direction. The current model </w:t>
      </w:r>
      <w:r w:rsidR="00581382" w:rsidRPr="00DA1F34">
        <w:t>adopts</w:t>
      </w:r>
      <w:r w:rsidR="00FA5BF3" w:rsidRPr="00DA1F34">
        <w:t xml:space="preserve"> a front-back ratio of 25dB for the element gain, however a beam could potentially point to the back of the panel. </w:t>
      </w:r>
      <w:proofErr w:type="gramStart"/>
      <w:r w:rsidR="00FA5BF3" w:rsidRPr="00DA1F34">
        <w:t>In order to</w:t>
      </w:r>
      <w:proofErr w:type="gramEnd"/>
      <w:r w:rsidR="00FA5BF3" w:rsidRPr="00DA1F34">
        <w:t xml:space="preserve"> avoid this issue in the mathematical model we</w:t>
      </w:r>
      <w:r w:rsidR="00DA1F34">
        <w:t xml:space="preserve"> propose to use a fix gain of -20</w:t>
      </w:r>
      <w:r w:rsidR="00FA5BF3" w:rsidRPr="00DA1F34">
        <w:t>dB</w:t>
      </w:r>
      <w:r w:rsidR="001B03D9" w:rsidRPr="00DA1F34">
        <w:t xml:space="preserve"> </w:t>
      </w:r>
      <w:r w:rsidR="00FA5BF3" w:rsidRPr="00DA1F34">
        <w:t>in the semi-sphere opposite to the boresight direction of the panel.</w:t>
      </w:r>
      <w:r w:rsidR="001B03D9" w:rsidRPr="00DA1F34">
        <w:t xml:space="preserve"> </w:t>
      </w:r>
      <w:r w:rsidR="00D16B3A">
        <w:t xml:space="preserve">Note that the -20dB corresponds to the minimum gain of the patch element adopted in RAN4 simulation assumptions. </w:t>
      </w:r>
    </w:p>
    <w:p w:rsidR="00831AE8" w:rsidRDefault="00DE075A" w:rsidP="009A7325">
      <w:pPr>
        <w:jc w:val="both"/>
      </w:pPr>
      <w:r>
        <w:t>In summary to characterize UE behaviour more accurately, we propose the following:</w:t>
      </w:r>
    </w:p>
    <w:p w:rsidR="00DE075A" w:rsidRPr="009B4E0B" w:rsidRDefault="00DE075A" w:rsidP="009A7325">
      <w:pPr>
        <w:jc w:val="both"/>
        <w:rPr>
          <w:b/>
          <w:i/>
        </w:rPr>
      </w:pPr>
      <w:r>
        <w:rPr>
          <w:b/>
          <w:i/>
        </w:rPr>
        <w:t>Proposal 2</w:t>
      </w:r>
      <w:r w:rsidRPr="009B4E0B">
        <w:rPr>
          <w:b/>
          <w:i/>
        </w:rPr>
        <w:t xml:space="preserve">: to evaluate the impact of UE peak EIRP and spherical coverage to NR network performance, the following </w:t>
      </w:r>
      <w:r>
        <w:rPr>
          <w:b/>
          <w:i/>
        </w:rPr>
        <w:t>modifications to UE settings</w:t>
      </w:r>
      <w:r w:rsidRPr="009B4E0B">
        <w:rPr>
          <w:b/>
          <w:i/>
        </w:rPr>
        <w:t xml:space="preserve"> should be considered:</w:t>
      </w:r>
    </w:p>
    <w:p w:rsidR="00DE075A" w:rsidRPr="00DE075A" w:rsidRDefault="00DE075A" w:rsidP="009A7325">
      <w:pPr>
        <w:pStyle w:val="ListParagraph"/>
        <w:numPr>
          <w:ilvl w:val="0"/>
          <w:numId w:val="45"/>
        </w:numPr>
        <w:jc w:val="both"/>
        <w:rPr>
          <w:b/>
          <w:i/>
        </w:rPr>
      </w:pPr>
      <w:r w:rsidRPr="00DE075A">
        <w:rPr>
          <w:b/>
          <w:i/>
        </w:rPr>
        <w:t>UE resource allocation: 200MHz and 20MHz</w:t>
      </w:r>
    </w:p>
    <w:p w:rsidR="00DE075A" w:rsidRPr="00DE075A" w:rsidRDefault="00DE075A" w:rsidP="009A7325">
      <w:pPr>
        <w:pStyle w:val="ListParagraph"/>
        <w:numPr>
          <w:ilvl w:val="0"/>
          <w:numId w:val="45"/>
        </w:numPr>
        <w:jc w:val="both"/>
        <w:rPr>
          <w:b/>
          <w:i/>
        </w:rPr>
      </w:pPr>
      <w:r w:rsidRPr="00DE075A">
        <w:rPr>
          <w:b/>
          <w:i/>
        </w:rPr>
        <w:t>Power control setting should be updated considering a target SNR of 22dB</w:t>
      </w:r>
    </w:p>
    <w:p w:rsidR="00DE075A" w:rsidRPr="00DE075A" w:rsidRDefault="00DE075A" w:rsidP="009A7325">
      <w:pPr>
        <w:pStyle w:val="ListParagraph"/>
        <w:numPr>
          <w:ilvl w:val="0"/>
          <w:numId w:val="45"/>
        </w:numPr>
        <w:jc w:val="both"/>
        <w:rPr>
          <w:b/>
          <w:i/>
        </w:rPr>
      </w:pPr>
      <w:r w:rsidRPr="00DE075A">
        <w:rPr>
          <w:b/>
          <w:i/>
        </w:rPr>
        <w:t>Two possible options for UE elevation should be discussed:</w:t>
      </w:r>
    </w:p>
    <w:p w:rsidR="00DE075A" w:rsidRPr="00DE075A" w:rsidRDefault="00DE075A" w:rsidP="009A7325">
      <w:pPr>
        <w:pStyle w:val="ListParagraph"/>
        <w:numPr>
          <w:ilvl w:val="1"/>
          <w:numId w:val="45"/>
        </w:numPr>
        <w:jc w:val="both"/>
        <w:rPr>
          <w:b/>
          <w:i/>
        </w:rPr>
      </w:pPr>
      <w:r w:rsidRPr="00DE075A">
        <w:rPr>
          <w:b/>
          <w:i/>
        </w:rPr>
        <w:t>Option 1: Random distribution (uniform from 0 to 180)</w:t>
      </w:r>
    </w:p>
    <w:p w:rsidR="00DE075A" w:rsidRDefault="00DE075A" w:rsidP="009A7325">
      <w:pPr>
        <w:pStyle w:val="ListParagraph"/>
        <w:numPr>
          <w:ilvl w:val="1"/>
          <w:numId w:val="45"/>
        </w:numPr>
        <w:jc w:val="both"/>
        <w:rPr>
          <w:b/>
          <w:i/>
        </w:rPr>
      </w:pPr>
      <w:r w:rsidRPr="00DE075A">
        <w:rPr>
          <w:b/>
          <w:i/>
        </w:rPr>
        <w:t>Option 2: Gaussian distribution, wi</w:t>
      </w:r>
      <w:r w:rsidR="00FA5BF3">
        <w:rPr>
          <w:b/>
          <w:i/>
        </w:rPr>
        <w:t>th parametric mean and variance</w:t>
      </w:r>
    </w:p>
    <w:p w:rsidR="00FA5BF3" w:rsidRPr="00DA1F34" w:rsidRDefault="00DA1F34" w:rsidP="009A7325">
      <w:pPr>
        <w:pStyle w:val="ListParagraph"/>
        <w:numPr>
          <w:ilvl w:val="0"/>
          <w:numId w:val="45"/>
        </w:numPr>
        <w:jc w:val="both"/>
        <w:rPr>
          <w:b/>
          <w:i/>
        </w:rPr>
      </w:pPr>
      <w:r>
        <w:rPr>
          <w:b/>
          <w:i/>
        </w:rPr>
        <w:t>to use a fix gain of -20</w:t>
      </w:r>
      <w:r w:rsidR="00FA5BF3" w:rsidRPr="00DA1F34">
        <w:rPr>
          <w:b/>
          <w:i/>
        </w:rPr>
        <w:t>dB in the semi-sphere opposite to the boresight direction of the panel</w:t>
      </w:r>
    </w:p>
    <w:p w:rsidR="009B4E0B" w:rsidRDefault="00AC7BF8" w:rsidP="009B4E0B">
      <w:pPr>
        <w:pStyle w:val="Heading2"/>
        <w:rPr>
          <w:lang w:val="en-US"/>
        </w:rPr>
      </w:pPr>
      <w:r>
        <w:rPr>
          <w:lang w:val="en-US"/>
        </w:rPr>
        <w:t>Hand b</w:t>
      </w:r>
      <w:r w:rsidR="00DE075A">
        <w:rPr>
          <w:lang w:val="en-US"/>
        </w:rPr>
        <w:t xml:space="preserve">lockage model </w:t>
      </w:r>
    </w:p>
    <w:p w:rsidR="00DE075A" w:rsidRDefault="00C5504C" w:rsidP="00A027D4">
      <w:pPr>
        <w:jc w:val="both"/>
        <w:rPr>
          <w:lang w:val="en-US"/>
        </w:rPr>
      </w:pPr>
      <w:r>
        <w:rPr>
          <w:lang w:val="en-US"/>
        </w:rPr>
        <w:t xml:space="preserve">During NR study phase hand and body blockage were not considered. Since the goal of this new set of simulation assumptions is to evaluate the impact of </w:t>
      </w:r>
      <w:r w:rsidR="00A027D4">
        <w:rPr>
          <w:lang w:val="en-US"/>
        </w:rPr>
        <w:t xml:space="preserve">EIRP and spherical coverage on network performance, accounting for realistic blockage due to hand and/or body obstructions is </w:t>
      </w:r>
      <w:r w:rsidR="00F54231">
        <w:rPr>
          <w:lang w:val="en-US"/>
        </w:rPr>
        <w:t>a key aspect. We will mainly focus on hand blockage caused by users handling UEs.</w:t>
      </w:r>
    </w:p>
    <w:p w:rsidR="00204ED5" w:rsidRDefault="00977E96" w:rsidP="00A027D4">
      <w:pPr>
        <w:jc w:val="both"/>
        <w:rPr>
          <w:lang w:val="en-US"/>
        </w:rPr>
      </w:pPr>
      <w:r>
        <w:rPr>
          <w:lang w:val="en-US"/>
        </w:rPr>
        <w:t>W</w:t>
      </w:r>
      <w:r w:rsidR="00F54231">
        <w:rPr>
          <w:lang w:val="en-US"/>
        </w:rPr>
        <w:t xml:space="preserve">e propose to define a model able </w:t>
      </w:r>
      <w:r w:rsidR="00581382">
        <w:rPr>
          <w:lang w:val="en-US"/>
        </w:rPr>
        <w:t xml:space="preserve">to </w:t>
      </w:r>
      <w:r w:rsidR="00F54231">
        <w:rPr>
          <w:lang w:val="en-US"/>
        </w:rPr>
        <w:t>characterize angular direction of the blockage</w:t>
      </w:r>
      <w:r>
        <w:rPr>
          <w:lang w:val="en-US"/>
        </w:rPr>
        <w:t xml:space="preserve">, consistent with the blockage model A defined in 3GPP TR 38.901 </w:t>
      </w:r>
      <w:r>
        <w:rPr>
          <w:lang w:val="en-US"/>
        </w:rPr>
        <w:fldChar w:fldCharType="begin"/>
      </w:r>
      <w:r>
        <w:rPr>
          <w:lang w:val="en-US"/>
        </w:rPr>
        <w:instrText xml:space="preserve"> REF _Ref503804089 \r \h </w:instrText>
      </w:r>
      <w:r>
        <w:rPr>
          <w:lang w:val="en-US"/>
        </w:rPr>
      </w:r>
      <w:r>
        <w:rPr>
          <w:lang w:val="en-US"/>
        </w:rPr>
        <w:fldChar w:fldCharType="separate"/>
      </w:r>
      <w:r w:rsidR="00581382">
        <w:rPr>
          <w:lang w:val="en-US"/>
        </w:rPr>
        <w:t>[7]</w:t>
      </w:r>
      <w:r>
        <w:rPr>
          <w:lang w:val="en-US"/>
        </w:rPr>
        <w:fldChar w:fldCharType="end"/>
      </w:r>
      <w:r w:rsidR="00F54231">
        <w:rPr>
          <w:lang w:val="en-US"/>
        </w:rPr>
        <w:t xml:space="preserve">. The model depends on the way user holds the phone. </w:t>
      </w:r>
      <w:r w:rsidR="00204ED5">
        <w:rPr>
          <w:lang w:val="en-US"/>
        </w:rPr>
        <w:t>An example of simulated gain considering no hand, hand holding the phone in portrait mode and hand holding the phone in landscape mode is shown i</w:t>
      </w:r>
      <w:r w:rsidR="00F54231">
        <w:rPr>
          <w:lang w:val="en-US"/>
        </w:rPr>
        <w:t xml:space="preserve">n </w:t>
      </w:r>
      <w:r w:rsidR="00F54231">
        <w:rPr>
          <w:lang w:val="en-US"/>
        </w:rPr>
        <w:fldChar w:fldCharType="begin"/>
      </w:r>
      <w:r w:rsidR="00F54231">
        <w:rPr>
          <w:lang w:val="en-US"/>
        </w:rPr>
        <w:instrText xml:space="preserve"> REF _Ref503285196 \h </w:instrText>
      </w:r>
      <w:r w:rsidR="00F54231">
        <w:rPr>
          <w:lang w:val="en-US"/>
        </w:rPr>
      </w:r>
      <w:r w:rsidR="00F54231">
        <w:rPr>
          <w:lang w:val="en-US"/>
        </w:rPr>
        <w:fldChar w:fldCharType="separate"/>
      </w:r>
      <w:r w:rsidR="00581382">
        <w:t xml:space="preserve">Figure </w:t>
      </w:r>
      <w:r w:rsidR="00581382">
        <w:rPr>
          <w:noProof/>
        </w:rPr>
        <w:t>1</w:t>
      </w:r>
      <w:r w:rsidR="00F54231">
        <w:rPr>
          <w:lang w:val="en-US"/>
        </w:rPr>
        <w:fldChar w:fldCharType="end"/>
      </w:r>
      <w:r w:rsidR="00204ED5">
        <w:rPr>
          <w:lang w:val="en-US"/>
        </w:rPr>
        <w:t xml:space="preserve">, for both 28GHz and 60GHz carrier frequency. </w:t>
      </w:r>
    </w:p>
    <w:p w:rsidR="00581382" w:rsidRDefault="00204ED5" w:rsidP="005463AA">
      <w:pPr>
        <w:jc w:val="both"/>
        <w:rPr>
          <w:lang w:val="en-US"/>
        </w:rPr>
      </w:pPr>
      <w:r>
        <w:rPr>
          <w:lang w:val="en-US"/>
        </w:rPr>
        <w:t xml:space="preserve">To derive an accurate modeling for </w:t>
      </w:r>
      <w:r w:rsidR="00D96421">
        <w:rPr>
          <w:lang w:val="en-US"/>
        </w:rPr>
        <w:t xml:space="preserve">hand blockage loss we also conducted a measurement campaign. The details and procedure adopted for the measurements are described in </w:t>
      </w:r>
      <w:r w:rsidR="00D96421">
        <w:rPr>
          <w:lang w:val="en-US"/>
        </w:rPr>
        <w:fldChar w:fldCharType="begin"/>
      </w:r>
      <w:r w:rsidR="00D96421">
        <w:rPr>
          <w:lang w:val="en-US"/>
        </w:rPr>
        <w:instrText xml:space="preserve"> REF _Ref503284687 \r \h </w:instrText>
      </w:r>
      <w:r w:rsidR="00D96421">
        <w:rPr>
          <w:lang w:val="en-US"/>
        </w:rPr>
      </w:r>
      <w:r w:rsidR="00D96421">
        <w:rPr>
          <w:lang w:val="en-US"/>
        </w:rPr>
        <w:fldChar w:fldCharType="separate"/>
      </w:r>
      <w:r w:rsidR="00581382">
        <w:rPr>
          <w:lang w:val="en-US"/>
        </w:rPr>
        <w:t>[8]</w:t>
      </w:r>
      <w:r w:rsidR="00D96421">
        <w:rPr>
          <w:lang w:val="en-US"/>
        </w:rPr>
        <w:fldChar w:fldCharType="end"/>
      </w:r>
      <w:r w:rsidR="00D96421">
        <w:rPr>
          <w:lang w:val="en-US"/>
        </w:rPr>
        <w:t xml:space="preserve">. The model </w:t>
      </w:r>
      <w:r w:rsidR="00581382">
        <w:rPr>
          <w:lang w:val="en-US"/>
        </w:rPr>
        <w:t xml:space="preserve">A in 3GPP TR 38.901 </w:t>
      </w:r>
      <w:r w:rsidR="00D96421">
        <w:rPr>
          <w:lang w:val="en-US"/>
        </w:rPr>
        <w:t xml:space="preserve">is based on a simple square region. </w:t>
      </w:r>
      <w:r w:rsidR="005463AA" w:rsidRPr="005463AA">
        <w:rPr>
          <w:lang w:val="en-US"/>
        </w:rPr>
        <w:t>This approximation is captured by the center of the</w:t>
      </w:r>
      <w:r w:rsidR="00F52DA5">
        <w:rPr>
          <w:lang w:val="en-US"/>
        </w:rPr>
        <w:t xml:space="preserve"> </w:t>
      </w:r>
      <w:r w:rsidR="005463AA" w:rsidRPr="005463AA">
        <w:rPr>
          <w:lang w:val="en-US"/>
        </w:rPr>
        <w:t xml:space="preserve">blocker </w:t>
      </w:r>
      <m:oMath>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ϕ</m:t>
            </m:r>
          </m:e>
          <m:sub>
            <m:r>
              <m:rPr>
                <m:sty m:val="p"/>
              </m:rP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1</m:t>
            </m:r>
          </m:sub>
        </m:sSub>
      </m:oMath>
      <w:r w:rsidR="005463AA" w:rsidRPr="005463AA">
        <w:rPr>
          <w:lang w:val="en-US"/>
        </w:rPr>
        <w:t>), and the angular spread of the blocker</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oMath>
      <w:r w:rsidR="00F52DA5" w:rsidRPr="005463AA">
        <w:rPr>
          <w:lang w:val="en-US"/>
        </w:rPr>
        <w:t>)</w:t>
      </w:r>
      <w:r w:rsidR="005463AA" w:rsidRPr="005463AA">
        <w:rPr>
          <w:lang w:val="en-US"/>
        </w:rPr>
        <w:t xml:space="preserve"> in azimuth and elevation with</w:t>
      </w:r>
      <w:r w:rsidR="00F52DA5">
        <w:rPr>
          <w:lang w:val="en-US"/>
        </w:rPr>
        <w:t xml:space="preserve"> </w:t>
      </w:r>
      <w:r w:rsidR="005463AA" w:rsidRPr="005463AA">
        <w:rPr>
          <w:lang w:val="en-US"/>
        </w:rPr>
        <w:t xml:space="preserve">the blocking angles captured as </w:t>
      </w:r>
      <m:oMath>
        <m:r>
          <w:rPr>
            <w:rFonts w:ascii="Cambria Math" w:hAnsi="Cambria Math"/>
            <w:lang w:val="en-US"/>
          </w:rPr>
          <m:t xml:space="preserve">ϕ∈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num>
              <m:den>
                <m:r>
                  <w:rPr>
                    <w:rFonts w:ascii="Cambria Math" w:hAnsi="Cambria Math"/>
                    <w:lang w:val="en-US"/>
                  </w:rPr>
                  <m:t>2</m:t>
                </m:r>
              </m:den>
            </m:f>
          </m:e>
        </m:d>
      </m:oMath>
      <w:r w:rsidR="00F52DA5">
        <w:rPr>
          <w:lang w:val="en-US"/>
        </w:rPr>
        <w:t xml:space="preserve"> and </w:t>
      </w:r>
      <m:oMath>
        <m:r>
          <w:rPr>
            <w:rFonts w:ascii="Cambria Math" w:hAnsi="Cambria Math"/>
            <w:lang w:val="en-US"/>
          </w:rPr>
          <m:t xml:space="preserve">θ∈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num>
              <m:den>
                <m:r>
                  <w:rPr>
                    <w:rFonts w:ascii="Cambria Math" w:hAnsi="Cambria Math"/>
                    <w:lang w:val="en-US"/>
                  </w:rPr>
                  <m:t>2</m:t>
                </m:r>
              </m:den>
            </m:f>
          </m:e>
        </m:d>
      </m:oMath>
      <w:r w:rsidR="00F52DA5">
        <w:rPr>
          <w:lang w:val="en-US"/>
        </w:rPr>
        <w:t xml:space="preserve"> </w:t>
      </w:r>
      <w:r w:rsidR="005463AA" w:rsidRPr="005463AA">
        <w:rPr>
          <w:lang w:val="en-US"/>
        </w:rPr>
        <w:t>in azimuth</w:t>
      </w:r>
      <w:r w:rsidR="00F52DA5">
        <w:rPr>
          <w:lang w:val="en-US"/>
        </w:rPr>
        <w:t xml:space="preserve"> </w:t>
      </w:r>
      <w:r w:rsidR="005463AA" w:rsidRPr="005463AA">
        <w:rPr>
          <w:lang w:val="en-US"/>
        </w:rPr>
        <w:t>and elevation, respectively.</w:t>
      </w:r>
      <w:r w:rsidR="002924EC">
        <w:rPr>
          <w:lang w:val="en-US"/>
        </w:rPr>
        <w:t xml:space="preserve"> In the blockage region, the blockage level is defined as a log-normal distribution with mean 15.3dB and </w:t>
      </w:r>
      <w:r w:rsidR="00977E96">
        <w:rPr>
          <w:lang w:val="en-US"/>
        </w:rPr>
        <w:t>standard deviation equal to 3.8</w:t>
      </w:r>
      <w:r w:rsidR="002924EC">
        <w:rPr>
          <w:lang w:val="en-US"/>
        </w:rPr>
        <w:t xml:space="preserve">dB. </w:t>
      </w:r>
      <w:bookmarkStart w:id="1" w:name="_Hlk503804454"/>
    </w:p>
    <w:p w:rsidR="00581382" w:rsidRDefault="002924EC" w:rsidP="005463AA">
      <w:pPr>
        <w:jc w:val="both"/>
        <w:rPr>
          <w:lang w:val="en-US"/>
        </w:rPr>
      </w:pPr>
      <w:r>
        <w:rPr>
          <w:lang w:val="en-US"/>
        </w:rPr>
        <w:t xml:space="preserve">The full model is summarized in </w:t>
      </w:r>
      <w:r>
        <w:rPr>
          <w:lang w:val="en-US"/>
        </w:rPr>
        <w:fldChar w:fldCharType="begin"/>
      </w:r>
      <w:r>
        <w:rPr>
          <w:lang w:val="en-US"/>
        </w:rPr>
        <w:instrText xml:space="preserve"> REF _Ref503290935 \h </w:instrText>
      </w:r>
      <w:r>
        <w:rPr>
          <w:lang w:val="en-US"/>
        </w:rPr>
      </w:r>
      <w:r>
        <w:rPr>
          <w:lang w:val="en-US"/>
        </w:rPr>
        <w:fldChar w:fldCharType="separate"/>
      </w:r>
      <w:r w:rsidR="00581382">
        <w:t xml:space="preserve">Table </w:t>
      </w:r>
      <w:r w:rsidR="00581382">
        <w:rPr>
          <w:noProof/>
        </w:rPr>
        <w:t>1</w:t>
      </w:r>
      <w:r>
        <w:rPr>
          <w:lang w:val="en-US"/>
        </w:rPr>
        <w:fldChar w:fldCharType="end"/>
      </w:r>
      <w:r w:rsidR="00977E96">
        <w:rPr>
          <w:lang w:val="en-US"/>
        </w:rPr>
        <w:t xml:space="preserve">: </w:t>
      </w:r>
    </w:p>
    <w:p w:rsidR="00581382" w:rsidRDefault="00977E96" w:rsidP="00581382">
      <w:pPr>
        <w:pStyle w:val="ListParagraph"/>
        <w:numPr>
          <w:ilvl w:val="0"/>
          <w:numId w:val="49"/>
        </w:numPr>
        <w:jc w:val="both"/>
        <w:rPr>
          <w:lang w:val="en-US"/>
        </w:rPr>
      </w:pPr>
      <w:r w:rsidRPr="00581382">
        <w:rPr>
          <w:lang w:val="en-US"/>
        </w:rPr>
        <w:t xml:space="preserve">the angular region in which blockage is present is the same as the blockage model A in TR 38.901 </w:t>
      </w:r>
      <w:r w:rsidR="00581382">
        <w:rPr>
          <w:lang w:val="en-US"/>
        </w:rPr>
        <w:fldChar w:fldCharType="begin"/>
      </w:r>
      <w:r w:rsidR="00581382">
        <w:rPr>
          <w:lang w:val="en-US"/>
        </w:rPr>
        <w:instrText xml:space="preserve"> REF _Ref503804089 \r \h </w:instrText>
      </w:r>
      <w:r w:rsidR="00581382">
        <w:rPr>
          <w:lang w:val="en-US"/>
        </w:rPr>
      </w:r>
      <w:r w:rsidR="00581382">
        <w:rPr>
          <w:lang w:val="en-US"/>
        </w:rPr>
        <w:fldChar w:fldCharType="separate"/>
      </w:r>
      <w:r w:rsidR="00581382">
        <w:rPr>
          <w:lang w:val="en-US"/>
        </w:rPr>
        <w:t>[7]</w:t>
      </w:r>
      <w:r w:rsidR="00581382">
        <w:rPr>
          <w:lang w:val="en-US"/>
        </w:rPr>
        <w:fldChar w:fldCharType="end"/>
      </w:r>
      <w:r w:rsidR="00581382">
        <w:rPr>
          <w:lang w:val="en-US"/>
        </w:rPr>
        <w:t>.</w:t>
      </w:r>
    </w:p>
    <w:p w:rsidR="00F52DA5" w:rsidRPr="00581382" w:rsidRDefault="00977E96" w:rsidP="00581382">
      <w:pPr>
        <w:pStyle w:val="ListParagraph"/>
        <w:numPr>
          <w:ilvl w:val="0"/>
          <w:numId w:val="49"/>
        </w:numPr>
        <w:jc w:val="both"/>
        <w:rPr>
          <w:lang w:val="en-US"/>
        </w:rPr>
      </w:pPr>
      <w:r w:rsidRPr="00581382">
        <w:rPr>
          <w:lang w:val="en-US"/>
        </w:rPr>
        <w:t xml:space="preserve">the proposed blockage loss is based on our measurements documented in </w:t>
      </w:r>
      <w:r w:rsidRPr="00581382">
        <w:rPr>
          <w:lang w:val="en-US"/>
        </w:rPr>
        <w:fldChar w:fldCharType="begin"/>
      </w:r>
      <w:r w:rsidRPr="00581382">
        <w:rPr>
          <w:lang w:val="en-US"/>
        </w:rPr>
        <w:instrText xml:space="preserve"> REF _Ref503804242 \r \h </w:instrText>
      </w:r>
      <w:r w:rsidRPr="00581382">
        <w:rPr>
          <w:lang w:val="en-US"/>
        </w:rPr>
      </w:r>
      <w:r w:rsidRPr="00581382">
        <w:rPr>
          <w:lang w:val="en-US"/>
        </w:rPr>
        <w:fldChar w:fldCharType="separate"/>
      </w:r>
      <w:r w:rsidR="00581382" w:rsidRPr="00581382">
        <w:rPr>
          <w:lang w:val="en-US"/>
        </w:rPr>
        <w:t>[8]</w:t>
      </w:r>
      <w:r w:rsidRPr="00581382">
        <w:rPr>
          <w:lang w:val="en-US"/>
        </w:rPr>
        <w:fldChar w:fldCharType="end"/>
      </w:r>
      <w:r w:rsidRPr="00581382">
        <w:rPr>
          <w:lang w:val="en-US"/>
        </w:rPr>
        <w:t>.</w:t>
      </w:r>
    </w:p>
    <w:bookmarkEnd w:id="1"/>
    <w:p w:rsidR="002924EC" w:rsidRPr="002924EC" w:rsidRDefault="00FA5BF3" w:rsidP="005463AA">
      <w:pPr>
        <w:jc w:val="both"/>
        <w:rPr>
          <w:b/>
          <w:i/>
          <w:lang w:val="en-US"/>
        </w:rPr>
      </w:pPr>
      <w:r>
        <w:rPr>
          <w:b/>
          <w:i/>
          <w:lang w:val="en-US"/>
        </w:rPr>
        <w:t>Proposal 3: to adopt a</w:t>
      </w:r>
      <w:r w:rsidR="002924EC" w:rsidRPr="002924EC">
        <w:rPr>
          <w:b/>
          <w:i/>
          <w:lang w:val="en-US"/>
        </w:rPr>
        <w:t xml:space="preserve"> hand blockage model based on Table 1</w:t>
      </w:r>
      <w:r w:rsidR="002924EC">
        <w:rPr>
          <w:b/>
          <w:i/>
          <w:lang w:val="en-US"/>
        </w:rPr>
        <w:t>.</w:t>
      </w:r>
    </w:p>
    <w:p w:rsidR="00437523" w:rsidRDefault="00437523" w:rsidP="002924EC">
      <w:pPr>
        <w:pStyle w:val="Caption"/>
        <w:keepNext/>
        <w:jc w:val="center"/>
      </w:pPr>
      <w:bookmarkStart w:id="2" w:name="_Ref503290935"/>
      <w:r>
        <w:t xml:space="preserve">Table </w:t>
      </w:r>
      <w:r>
        <w:fldChar w:fldCharType="begin"/>
      </w:r>
      <w:r>
        <w:instrText xml:space="preserve"> SEQ Table \* ARABIC </w:instrText>
      </w:r>
      <w:r>
        <w:fldChar w:fldCharType="separate"/>
      </w:r>
      <w:r w:rsidR="00581382">
        <w:rPr>
          <w:noProof/>
        </w:rPr>
        <w:t>1</w:t>
      </w:r>
      <w:r>
        <w:fldChar w:fldCharType="end"/>
      </w:r>
      <w:bookmarkEnd w:id="2"/>
      <w:r>
        <w:t xml:space="preserve">. </w:t>
      </w:r>
      <w:r w:rsidRPr="00437523">
        <w:t xml:space="preserve">Proposed </w:t>
      </w:r>
      <w:r>
        <w:t>s</w:t>
      </w:r>
      <w:r w:rsidRPr="00437523">
        <w:t xml:space="preserve">tatistical </w:t>
      </w:r>
      <w:r>
        <w:t>m</w:t>
      </w:r>
      <w:r w:rsidRPr="00437523">
        <w:t xml:space="preserve">odel </w:t>
      </w:r>
      <w:r>
        <w:t>f</w:t>
      </w:r>
      <w:r w:rsidRPr="00437523">
        <w:t xml:space="preserve">or </w:t>
      </w:r>
      <w:r>
        <w:t>hand b</w:t>
      </w:r>
      <w:r w:rsidRPr="00437523">
        <w:t>lockage</w:t>
      </w:r>
      <w:r w:rsidR="00977E96">
        <w:t>.</w:t>
      </w:r>
    </w:p>
    <w:tbl>
      <w:tblPr>
        <w:tblStyle w:val="TableGrid"/>
        <w:tblW w:w="0" w:type="auto"/>
        <w:jc w:val="center"/>
        <w:tblLook w:val="04A0" w:firstRow="1" w:lastRow="0" w:firstColumn="1" w:lastColumn="0" w:noHBand="0" w:noVBand="1"/>
      </w:tblPr>
      <w:tblGrid>
        <w:gridCol w:w="1705"/>
        <w:gridCol w:w="1350"/>
        <w:gridCol w:w="1260"/>
        <w:gridCol w:w="1260"/>
        <w:gridCol w:w="1170"/>
        <w:gridCol w:w="2876"/>
      </w:tblGrid>
      <w:tr w:rsidR="00F52DA5" w:rsidRPr="00F80818" w:rsidTr="002924EC">
        <w:trPr>
          <w:jc w:val="center"/>
        </w:trPr>
        <w:tc>
          <w:tcPr>
            <w:tcW w:w="1705" w:type="dxa"/>
          </w:tcPr>
          <w:p w:rsidR="00F52DA5" w:rsidRPr="00F80818" w:rsidRDefault="00F52DA5" w:rsidP="005463AA">
            <w:pPr>
              <w:jc w:val="both"/>
              <w:rPr>
                <w:b/>
                <w:lang w:val="en-US"/>
              </w:rPr>
            </w:pPr>
            <w:r w:rsidRPr="00F80818">
              <w:rPr>
                <w:b/>
                <w:lang w:val="en-US"/>
              </w:rPr>
              <w:t>Scenario</w:t>
            </w:r>
          </w:p>
        </w:tc>
        <w:tc>
          <w:tcPr>
            <w:tcW w:w="1350" w:type="dxa"/>
          </w:tcPr>
          <w:p w:rsidR="00F52DA5" w:rsidRPr="00F80818" w:rsidRDefault="004C05AA" w:rsidP="00874ECD">
            <w:pPr>
              <w:jc w:val="center"/>
              <w:rPr>
                <w:b/>
                <w:lang w:val="en-US"/>
              </w:rPr>
            </w:pPr>
            <m:oMathPara>
              <m:oMath>
                <m:sSub>
                  <m:sSubPr>
                    <m:ctrlPr>
                      <w:rPr>
                        <w:rFonts w:ascii="Cambria Math" w:hAnsi="Cambria Math"/>
                        <w:b/>
                        <w:i/>
                        <w:lang w:val="en-US"/>
                      </w:rPr>
                    </m:ctrlPr>
                  </m:sSubPr>
                  <m:e>
                    <m:r>
                      <m:rPr>
                        <m:sty m:val="bi"/>
                      </m:rPr>
                      <w:rPr>
                        <w:rFonts w:ascii="Cambria Math" w:hAnsi="Cambria Math"/>
                        <w:lang w:val="en-US"/>
                      </w:rPr>
                      <m:t>ϕ</m:t>
                    </m:r>
                  </m:e>
                  <m:sub>
                    <m:r>
                      <m:rPr>
                        <m:sty m:val="bi"/>
                      </m:rPr>
                      <w:rPr>
                        <w:rFonts w:ascii="Cambria Math" w:hAnsi="Cambria Math"/>
                        <w:lang w:val="en-US"/>
                      </w:rPr>
                      <m:t>1</m:t>
                    </m:r>
                  </m:sub>
                </m:sSub>
              </m:oMath>
            </m:oMathPara>
          </w:p>
        </w:tc>
        <w:tc>
          <w:tcPr>
            <w:tcW w:w="1260" w:type="dxa"/>
          </w:tcPr>
          <w:p w:rsidR="00F52DA5" w:rsidRPr="00F80818" w:rsidRDefault="004C05AA" w:rsidP="00874ECD">
            <w:pPr>
              <w:jc w:val="center"/>
              <w:rPr>
                <w:b/>
                <w:lang w:val="en-US"/>
              </w:rPr>
            </w:pPr>
            <m:oMathPara>
              <m:oMath>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1</m:t>
                    </m:r>
                  </m:sub>
                </m:sSub>
              </m:oMath>
            </m:oMathPara>
          </w:p>
        </w:tc>
        <w:tc>
          <w:tcPr>
            <w:tcW w:w="1260" w:type="dxa"/>
          </w:tcPr>
          <w:p w:rsidR="00F52DA5" w:rsidRPr="00F80818" w:rsidRDefault="004C05AA" w:rsidP="00874ECD">
            <w:pPr>
              <w:jc w:val="center"/>
              <w:rPr>
                <w:b/>
                <w:lang w:val="en-US"/>
              </w:rPr>
            </w:pPr>
            <m:oMathPara>
              <m:oMath>
                <m:sSub>
                  <m:sSubPr>
                    <m:ctrlPr>
                      <w:rPr>
                        <w:rFonts w:ascii="Cambria Math" w:hAnsi="Cambria Math"/>
                        <w:b/>
                        <w:i/>
                        <w:lang w:val="en-US"/>
                      </w:rPr>
                    </m:ctrlPr>
                  </m:sSubPr>
                  <m:e>
                    <m:r>
                      <m:rPr>
                        <m:sty m:val="bi"/>
                      </m:rPr>
                      <w:rPr>
                        <w:rFonts w:ascii="Cambria Math" w:hAnsi="Cambria Math"/>
                        <w:lang w:val="en-US"/>
                      </w:rPr>
                      <m:t>θ</m:t>
                    </m:r>
                  </m:e>
                  <m:sub>
                    <m:r>
                      <m:rPr>
                        <m:sty m:val="bi"/>
                      </m:rPr>
                      <w:rPr>
                        <w:rFonts w:ascii="Cambria Math" w:hAnsi="Cambria Math"/>
                        <w:lang w:val="en-US"/>
                      </w:rPr>
                      <m:t>1</m:t>
                    </m:r>
                  </m:sub>
                </m:sSub>
              </m:oMath>
            </m:oMathPara>
          </w:p>
        </w:tc>
        <w:tc>
          <w:tcPr>
            <w:tcW w:w="1170" w:type="dxa"/>
          </w:tcPr>
          <w:p w:rsidR="00F52DA5" w:rsidRPr="00F80818" w:rsidRDefault="004C05AA" w:rsidP="00874ECD">
            <w:pPr>
              <w:jc w:val="center"/>
              <w:rPr>
                <w:b/>
                <w:lang w:val="en-US"/>
              </w:rPr>
            </w:pPr>
            <m:oMathPara>
              <m:oMath>
                <m:sSub>
                  <m:sSubPr>
                    <m:ctrlPr>
                      <w:rPr>
                        <w:rFonts w:ascii="Cambria Math" w:hAnsi="Cambria Math"/>
                        <w:b/>
                        <w:i/>
                        <w:lang w:val="en-US"/>
                      </w:rPr>
                    </m:ctrlPr>
                  </m:sSubPr>
                  <m:e>
                    <m:r>
                      <m:rPr>
                        <m:sty m:val="bi"/>
                      </m:rPr>
                      <w:rPr>
                        <w:rFonts w:ascii="Cambria Math" w:hAnsi="Cambria Math"/>
                        <w:lang w:val="en-US"/>
                      </w:rPr>
                      <m:t>y</m:t>
                    </m:r>
                  </m:e>
                  <m:sub>
                    <m:r>
                      <m:rPr>
                        <m:sty m:val="bi"/>
                      </m:rPr>
                      <w:rPr>
                        <w:rFonts w:ascii="Cambria Math" w:hAnsi="Cambria Math"/>
                        <w:lang w:val="en-US"/>
                      </w:rPr>
                      <m:t>1</m:t>
                    </m:r>
                  </m:sub>
                </m:sSub>
              </m:oMath>
            </m:oMathPara>
          </w:p>
        </w:tc>
        <w:tc>
          <w:tcPr>
            <w:tcW w:w="2876" w:type="dxa"/>
          </w:tcPr>
          <w:p w:rsidR="00F52DA5" w:rsidRPr="00F80818" w:rsidRDefault="00F52DA5" w:rsidP="00874ECD">
            <w:pPr>
              <w:jc w:val="center"/>
              <w:rPr>
                <w:b/>
                <w:lang w:val="en-US"/>
              </w:rPr>
            </w:pPr>
            <w:r w:rsidRPr="00F80818">
              <w:rPr>
                <w:b/>
                <w:lang w:val="en-US"/>
              </w:rPr>
              <w:t>Blockage Loss [dB]</w:t>
            </w:r>
          </w:p>
        </w:tc>
      </w:tr>
      <w:tr w:rsidR="00F52DA5" w:rsidRPr="00F80818" w:rsidTr="002924EC">
        <w:trPr>
          <w:jc w:val="center"/>
        </w:trPr>
        <w:tc>
          <w:tcPr>
            <w:tcW w:w="1705" w:type="dxa"/>
          </w:tcPr>
          <w:p w:rsidR="00F52DA5" w:rsidRPr="00F80818" w:rsidRDefault="00F52DA5" w:rsidP="005463AA">
            <w:pPr>
              <w:jc w:val="both"/>
              <w:rPr>
                <w:b/>
                <w:lang w:val="en-US"/>
              </w:rPr>
            </w:pPr>
            <w:r w:rsidRPr="00F80818">
              <w:rPr>
                <w:b/>
                <w:lang w:val="en-US"/>
              </w:rPr>
              <w:t>Portrait Mode</w:t>
            </w:r>
          </w:p>
        </w:tc>
        <w:tc>
          <w:tcPr>
            <w:tcW w:w="1350" w:type="dxa"/>
          </w:tcPr>
          <w:p w:rsidR="00F52DA5" w:rsidRPr="00F80818" w:rsidRDefault="00F52DA5" w:rsidP="00874ECD">
            <w:pPr>
              <w:jc w:val="center"/>
              <w:rPr>
                <w:lang w:val="en-US"/>
              </w:rPr>
            </w:pPr>
            <w:r w:rsidRPr="00F80818">
              <w:rPr>
                <w:lang w:val="en-US"/>
              </w:rPr>
              <w:t>260</w:t>
            </w:r>
          </w:p>
        </w:tc>
        <w:tc>
          <w:tcPr>
            <w:tcW w:w="1260" w:type="dxa"/>
          </w:tcPr>
          <w:p w:rsidR="00F52DA5" w:rsidRPr="00F80818" w:rsidRDefault="00F52DA5" w:rsidP="00874ECD">
            <w:pPr>
              <w:jc w:val="center"/>
              <w:rPr>
                <w:lang w:val="en-US"/>
              </w:rPr>
            </w:pPr>
            <w:r w:rsidRPr="00F80818">
              <w:rPr>
                <w:lang w:val="en-US"/>
              </w:rPr>
              <w:t>120</w:t>
            </w:r>
          </w:p>
        </w:tc>
        <w:tc>
          <w:tcPr>
            <w:tcW w:w="1260" w:type="dxa"/>
          </w:tcPr>
          <w:p w:rsidR="00F52DA5" w:rsidRPr="00F80818" w:rsidRDefault="00F52DA5" w:rsidP="00874ECD">
            <w:pPr>
              <w:jc w:val="center"/>
              <w:rPr>
                <w:lang w:val="en-US"/>
              </w:rPr>
            </w:pPr>
            <w:r w:rsidRPr="00F80818">
              <w:rPr>
                <w:lang w:val="en-US"/>
              </w:rPr>
              <w:t>100</w:t>
            </w:r>
          </w:p>
        </w:tc>
        <w:tc>
          <w:tcPr>
            <w:tcW w:w="1170" w:type="dxa"/>
          </w:tcPr>
          <w:p w:rsidR="00F52DA5" w:rsidRPr="00F80818" w:rsidRDefault="00F52DA5" w:rsidP="00874ECD">
            <w:pPr>
              <w:jc w:val="center"/>
              <w:rPr>
                <w:lang w:val="en-US"/>
              </w:rPr>
            </w:pPr>
            <w:r w:rsidRPr="00F80818">
              <w:rPr>
                <w:lang w:val="en-US"/>
              </w:rPr>
              <w:t>80</w:t>
            </w:r>
          </w:p>
        </w:tc>
        <w:tc>
          <w:tcPr>
            <w:tcW w:w="2876" w:type="dxa"/>
            <w:vMerge w:val="restart"/>
            <w:vAlign w:val="center"/>
          </w:tcPr>
          <w:p w:rsidR="00F52DA5" w:rsidRPr="00F80818" w:rsidRDefault="00437523" w:rsidP="005463AA">
            <w:pPr>
              <w:jc w:val="both"/>
              <w:rPr>
                <w:lang w:val="en-US"/>
              </w:rPr>
            </w:pPr>
            <m:oMathPara>
              <m:oMath>
                <m:r>
                  <m:rPr>
                    <m:scr m:val="script"/>
                  </m:rPr>
                  <w:rPr>
                    <w:rFonts w:ascii="Cambria Math" w:hAnsi="Cambria Math"/>
                    <w:lang w:val="en-US"/>
                  </w:rPr>
                  <m:t>N(</m:t>
                </m:r>
                <m:r>
                  <w:rPr>
                    <w:rFonts w:ascii="Cambria Math" w:hAnsi="Cambria Math"/>
                    <w:lang w:val="en-US"/>
                  </w:rPr>
                  <m:t>μ=15.3dB,σ=3.8dB)</m:t>
                </m:r>
              </m:oMath>
            </m:oMathPara>
          </w:p>
        </w:tc>
      </w:tr>
      <w:tr w:rsidR="00F52DA5" w:rsidRPr="00F80818" w:rsidTr="002924EC">
        <w:trPr>
          <w:jc w:val="center"/>
        </w:trPr>
        <w:tc>
          <w:tcPr>
            <w:tcW w:w="1705" w:type="dxa"/>
          </w:tcPr>
          <w:p w:rsidR="00F52DA5" w:rsidRPr="00F80818" w:rsidRDefault="00F52DA5" w:rsidP="005463AA">
            <w:pPr>
              <w:jc w:val="both"/>
              <w:rPr>
                <w:b/>
                <w:lang w:val="en-US"/>
              </w:rPr>
            </w:pPr>
            <w:r w:rsidRPr="00F80818">
              <w:rPr>
                <w:b/>
                <w:lang w:val="en-US"/>
              </w:rPr>
              <w:t>Landscape Mode</w:t>
            </w:r>
          </w:p>
        </w:tc>
        <w:tc>
          <w:tcPr>
            <w:tcW w:w="1350" w:type="dxa"/>
          </w:tcPr>
          <w:p w:rsidR="00F52DA5" w:rsidRPr="00F80818" w:rsidRDefault="00F52DA5" w:rsidP="00874ECD">
            <w:pPr>
              <w:jc w:val="center"/>
              <w:rPr>
                <w:lang w:val="en-US"/>
              </w:rPr>
            </w:pPr>
            <w:r w:rsidRPr="00F80818">
              <w:rPr>
                <w:lang w:val="en-US"/>
              </w:rPr>
              <w:t>40</w:t>
            </w:r>
          </w:p>
        </w:tc>
        <w:tc>
          <w:tcPr>
            <w:tcW w:w="1260" w:type="dxa"/>
          </w:tcPr>
          <w:p w:rsidR="00F52DA5" w:rsidRPr="00F80818" w:rsidRDefault="00F52DA5" w:rsidP="00874ECD">
            <w:pPr>
              <w:jc w:val="center"/>
              <w:rPr>
                <w:lang w:val="en-US"/>
              </w:rPr>
            </w:pPr>
            <w:r w:rsidRPr="00F80818">
              <w:rPr>
                <w:lang w:val="en-US"/>
              </w:rPr>
              <w:t>160</w:t>
            </w:r>
          </w:p>
        </w:tc>
        <w:tc>
          <w:tcPr>
            <w:tcW w:w="1260" w:type="dxa"/>
          </w:tcPr>
          <w:p w:rsidR="00F52DA5" w:rsidRPr="00F80818" w:rsidRDefault="00F52DA5" w:rsidP="00874ECD">
            <w:pPr>
              <w:jc w:val="center"/>
              <w:rPr>
                <w:lang w:val="en-US"/>
              </w:rPr>
            </w:pPr>
            <w:r w:rsidRPr="00F80818">
              <w:rPr>
                <w:lang w:val="en-US"/>
              </w:rPr>
              <w:t>110</w:t>
            </w:r>
          </w:p>
        </w:tc>
        <w:tc>
          <w:tcPr>
            <w:tcW w:w="1170" w:type="dxa"/>
          </w:tcPr>
          <w:p w:rsidR="00F52DA5" w:rsidRPr="00F80818" w:rsidRDefault="00F52DA5" w:rsidP="00874ECD">
            <w:pPr>
              <w:jc w:val="center"/>
              <w:rPr>
                <w:lang w:val="en-US"/>
              </w:rPr>
            </w:pPr>
            <w:r w:rsidRPr="00F80818">
              <w:rPr>
                <w:lang w:val="en-US"/>
              </w:rPr>
              <w:t>75</w:t>
            </w:r>
          </w:p>
        </w:tc>
        <w:tc>
          <w:tcPr>
            <w:tcW w:w="2876" w:type="dxa"/>
            <w:vMerge/>
          </w:tcPr>
          <w:p w:rsidR="00F52DA5" w:rsidRPr="00F80818" w:rsidRDefault="00F52DA5" w:rsidP="005463AA">
            <w:pPr>
              <w:jc w:val="both"/>
              <w:rPr>
                <w:lang w:val="en-US"/>
              </w:rPr>
            </w:pPr>
          </w:p>
        </w:tc>
      </w:tr>
    </w:tbl>
    <w:p w:rsidR="00F54231" w:rsidRDefault="00F54231" w:rsidP="005463AA">
      <w:pPr>
        <w:jc w:val="both"/>
        <w:rPr>
          <w:lang w:val="en-US"/>
        </w:rPr>
      </w:pPr>
    </w:p>
    <w:p w:rsidR="00F54231" w:rsidRDefault="00F54231" w:rsidP="00F54231">
      <w:pPr>
        <w:keepNext/>
        <w:jc w:val="center"/>
      </w:pPr>
      <w:r w:rsidRPr="00F54231">
        <w:rPr>
          <w:noProof/>
          <w:lang w:val="en-US"/>
        </w:rPr>
        <w:drawing>
          <wp:inline distT="0" distB="0" distL="0" distR="0">
            <wp:extent cx="4646137" cy="3767138"/>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9533" cy="3769892"/>
                    </a:xfrm>
                    <a:prstGeom prst="rect">
                      <a:avLst/>
                    </a:prstGeom>
                    <a:noFill/>
                    <a:ln>
                      <a:noFill/>
                    </a:ln>
                  </pic:spPr>
                </pic:pic>
              </a:graphicData>
            </a:graphic>
          </wp:inline>
        </w:drawing>
      </w:r>
    </w:p>
    <w:p w:rsidR="00F54231" w:rsidRDefault="00F54231" w:rsidP="00F54231">
      <w:pPr>
        <w:pStyle w:val="Caption"/>
        <w:jc w:val="center"/>
      </w:pPr>
      <w:bookmarkStart w:id="3" w:name="_Ref503285196"/>
      <w:r>
        <w:t xml:space="preserve">Figure </w:t>
      </w:r>
      <w:r>
        <w:fldChar w:fldCharType="begin"/>
      </w:r>
      <w:r>
        <w:instrText xml:space="preserve"> SEQ Figure \* ARABIC </w:instrText>
      </w:r>
      <w:r>
        <w:fldChar w:fldCharType="separate"/>
      </w:r>
      <w:r w:rsidR="00581382">
        <w:rPr>
          <w:noProof/>
        </w:rPr>
        <w:t>1</w:t>
      </w:r>
      <w:r>
        <w:fldChar w:fldCharType="end"/>
      </w:r>
      <w:bookmarkEnd w:id="3"/>
      <w:r>
        <w:t xml:space="preserve">. Maximum gain of all antennas at 28 GHz: (a) No hand, (b) Hand in Portrait mode, (c) Hand in Landscape mode; and at 60 GHz: (d) No hand, (e) Hand in Portrait mode, (f) Hand in Landscape mode </w:t>
      </w:r>
      <w:r>
        <w:fldChar w:fldCharType="begin"/>
      </w:r>
      <w:r>
        <w:instrText xml:space="preserve"> REF _Ref503284687 \r \h </w:instrText>
      </w:r>
      <w:r>
        <w:fldChar w:fldCharType="separate"/>
      </w:r>
      <w:r w:rsidR="00581382">
        <w:t>[8]</w:t>
      </w:r>
      <w:r>
        <w:fldChar w:fldCharType="end"/>
      </w:r>
      <w:r>
        <w:t>.</w:t>
      </w:r>
    </w:p>
    <w:p w:rsidR="002924EC" w:rsidRPr="002924EC" w:rsidRDefault="002924EC" w:rsidP="002924EC"/>
    <w:p w:rsidR="00B607A1" w:rsidRDefault="00B607A1" w:rsidP="00B607A1">
      <w:pPr>
        <w:pStyle w:val="Heading2"/>
        <w:rPr>
          <w:lang w:val="en-US"/>
        </w:rPr>
      </w:pPr>
      <w:r>
        <w:rPr>
          <w:lang w:val="en-US"/>
        </w:rPr>
        <w:t xml:space="preserve">Spherical coverage evaluation methodology </w:t>
      </w:r>
    </w:p>
    <w:p w:rsidR="00B607A1" w:rsidRPr="00FA5BF3" w:rsidRDefault="00B607A1" w:rsidP="009A7325">
      <w:pPr>
        <w:pStyle w:val="B1"/>
        <w:ind w:left="0" w:firstLine="0"/>
        <w:jc w:val="both"/>
        <w:rPr>
          <w:bCs/>
          <w:szCs w:val="22"/>
        </w:rPr>
      </w:pPr>
      <w:proofErr w:type="gramStart"/>
      <w:r w:rsidRPr="00FA5BF3">
        <w:rPr>
          <w:bCs/>
          <w:szCs w:val="22"/>
        </w:rPr>
        <w:t>In order to</w:t>
      </w:r>
      <w:proofErr w:type="gramEnd"/>
      <w:r w:rsidRPr="00FA5BF3">
        <w:rPr>
          <w:bCs/>
          <w:szCs w:val="22"/>
        </w:rPr>
        <w:t xml:space="preserve"> evaluate the impact of spherical coverage to network performance, several options are possible.</w:t>
      </w:r>
      <w:r w:rsidR="00EF2218" w:rsidRPr="00FA5BF3">
        <w:rPr>
          <w:bCs/>
          <w:szCs w:val="22"/>
        </w:rPr>
        <w:t xml:space="preserve"> At least the following two methodologies c</w:t>
      </w:r>
      <w:r w:rsidR="00AC7BF8" w:rsidRPr="00FA5BF3">
        <w:rPr>
          <w:bCs/>
          <w:szCs w:val="22"/>
        </w:rPr>
        <w:t>ould be consid</w:t>
      </w:r>
      <w:r w:rsidR="00EF2218" w:rsidRPr="00FA5BF3">
        <w:rPr>
          <w:bCs/>
          <w:szCs w:val="22"/>
        </w:rPr>
        <w:t>e</w:t>
      </w:r>
      <w:r w:rsidR="00AC7BF8" w:rsidRPr="00FA5BF3">
        <w:rPr>
          <w:bCs/>
          <w:szCs w:val="22"/>
        </w:rPr>
        <w:t>re</w:t>
      </w:r>
      <w:r w:rsidR="00EF2218" w:rsidRPr="00FA5BF3">
        <w:rPr>
          <w:bCs/>
          <w:szCs w:val="22"/>
        </w:rPr>
        <w:t>d:</w:t>
      </w:r>
    </w:p>
    <w:p w:rsidR="00B607A1" w:rsidRPr="00FA5BF3" w:rsidRDefault="00B607A1" w:rsidP="009A7325">
      <w:pPr>
        <w:pStyle w:val="B1"/>
        <w:numPr>
          <w:ilvl w:val="0"/>
          <w:numId w:val="47"/>
        </w:numPr>
        <w:jc w:val="both"/>
        <w:rPr>
          <w:bCs/>
          <w:szCs w:val="22"/>
        </w:rPr>
      </w:pPr>
      <w:r w:rsidRPr="00FA5BF3">
        <w:rPr>
          <w:bCs/>
          <w:szCs w:val="22"/>
        </w:rPr>
        <w:t xml:space="preserve">Evaluating spherical coverage with real antenna radiation pattern. This could be complicated and time consuming due to the need of computing cross gains for inter-cell and adjacent channel interference (need to have a sphere of data for all possible beam patterns). </w:t>
      </w:r>
      <w:r w:rsidR="00EF2218" w:rsidRPr="00FA5BF3">
        <w:rPr>
          <w:bCs/>
          <w:szCs w:val="22"/>
        </w:rPr>
        <w:t>We believe this option could be further studied based on input from companies.</w:t>
      </w:r>
    </w:p>
    <w:p w:rsidR="00B607A1" w:rsidRPr="00FA5BF3" w:rsidRDefault="00B607A1" w:rsidP="009A7325">
      <w:pPr>
        <w:pStyle w:val="B1"/>
        <w:numPr>
          <w:ilvl w:val="0"/>
          <w:numId w:val="47"/>
        </w:numPr>
        <w:jc w:val="both"/>
        <w:rPr>
          <w:bCs/>
          <w:szCs w:val="22"/>
        </w:rPr>
      </w:pPr>
      <w:r w:rsidRPr="00FA5BF3">
        <w:rPr>
          <w:bCs/>
          <w:szCs w:val="22"/>
        </w:rPr>
        <w:t>The model of 2 panels with 2x2 patche</w:t>
      </w:r>
      <w:r w:rsidR="009A7325">
        <w:rPr>
          <w:bCs/>
          <w:szCs w:val="22"/>
        </w:rPr>
        <w:t>s</w:t>
      </w:r>
      <w:r w:rsidRPr="00FA5BF3">
        <w:rPr>
          <w:bCs/>
          <w:szCs w:val="22"/>
        </w:rPr>
        <w:t xml:space="preserve"> could represent a good starting point for evaluating the achievable SINR. </w:t>
      </w:r>
      <w:proofErr w:type="gramStart"/>
      <w:r w:rsidRPr="00FA5BF3">
        <w:rPr>
          <w:bCs/>
          <w:szCs w:val="22"/>
        </w:rPr>
        <w:t>In order to</w:t>
      </w:r>
      <w:proofErr w:type="gramEnd"/>
      <w:r w:rsidRPr="00FA5BF3">
        <w:rPr>
          <w:bCs/>
          <w:szCs w:val="22"/>
        </w:rPr>
        <w:t xml:space="preserve"> evaluate the impact of spherical coverage a comparison between the following configurations can be made (this could be the default option):</w:t>
      </w:r>
    </w:p>
    <w:p w:rsidR="00B607A1" w:rsidRPr="00FA5BF3" w:rsidRDefault="00B607A1" w:rsidP="009A7325">
      <w:pPr>
        <w:pStyle w:val="B1"/>
        <w:numPr>
          <w:ilvl w:val="1"/>
          <w:numId w:val="46"/>
        </w:numPr>
        <w:jc w:val="both"/>
        <w:rPr>
          <w:bCs/>
          <w:szCs w:val="22"/>
        </w:rPr>
      </w:pPr>
      <w:r w:rsidRPr="00FA5BF3">
        <w:rPr>
          <w:bCs/>
          <w:szCs w:val="22"/>
        </w:rPr>
        <w:t>Configuration 1: one panel is active</w:t>
      </w:r>
    </w:p>
    <w:p w:rsidR="00EF2218" w:rsidRPr="00FA5BF3" w:rsidRDefault="00D86FFA" w:rsidP="009A7325">
      <w:pPr>
        <w:pStyle w:val="B1"/>
        <w:numPr>
          <w:ilvl w:val="1"/>
          <w:numId w:val="46"/>
        </w:numPr>
        <w:jc w:val="both"/>
        <w:rPr>
          <w:bCs/>
          <w:szCs w:val="22"/>
        </w:rPr>
      </w:pPr>
      <w:r>
        <w:rPr>
          <w:bCs/>
          <w:szCs w:val="22"/>
        </w:rPr>
        <w:t>Configuration 2: b</w:t>
      </w:r>
      <w:r w:rsidR="00EF2218" w:rsidRPr="00FA5BF3">
        <w:rPr>
          <w:bCs/>
          <w:szCs w:val="22"/>
        </w:rPr>
        <w:t>oth panels are active and UE can select the best panel. This corresponds to current assumption in TR 38.803</w:t>
      </w:r>
    </w:p>
    <w:p w:rsidR="00EF2218" w:rsidRDefault="00EF2218" w:rsidP="009A7325">
      <w:pPr>
        <w:jc w:val="both"/>
        <w:rPr>
          <w:b/>
          <w:i/>
        </w:rPr>
      </w:pPr>
      <w:r>
        <w:rPr>
          <w:b/>
          <w:i/>
        </w:rPr>
        <w:t>Proposal 4</w:t>
      </w:r>
      <w:r w:rsidRPr="009B4E0B">
        <w:rPr>
          <w:b/>
          <w:i/>
        </w:rPr>
        <w:t>:</w:t>
      </w:r>
      <w:r>
        <w:rPr>
          <w:b/>
          <w:i/>
        </w:rPr>
        <w:t xml:space="preserve"> </w:t>
      </w:r>
      <w:r w:rsidRPr="009B4E0B">
        <w:rPr>
          <w:b/>
          <w:i/>
        </w:rPr>
        <w:t xml:space="preserve">to evaluate the impact of spherical coverage to NR network performance, the following </w:t>
      </w:r>
      <w:r>
        <w:rPr>
          <w:b/>
          <w:i/>
        </w:rPr>
        <w:t xml:space="preserve">methodologies </w:t>
      </w:r>
      <w:r w:rsidRPr="009B4E0B">
        <w:rPr>
          <w:b/>
          <w:i/>
        </w:rPr>
        <w:t>should be considered:</w:t>
      </w:r>
    </w:p>
    <w:p w:rsidR="00EF2218" w:rsidRDefault="00EF2218" w:rsidP="009A7325">
      <w:pPr>
        <w:pStyle w:val="ListParagraph"/>
        <w:numPr>
          <w:ilvl w:val="0"/>
          <w:numId w:val="48"/>
        </w:numPr>
        <w:jc w:val="both"/>
        <w:rPr>
          <w:b/>
          <w:i/>
        </w:rPr>
      </w:pPr>
      <w:r>
        <w:rPr>
          <w:b/>
          <w:i/>
        </w:rPr>
        <w:t xml:space="preserve">Methodology 1 (baseline): comparison between the following two UE configurations: </w:t>
      </w:r>
    </w:p>
    <w:p w:rsidR="00EF2218" w:rsidRPr="00EF2218" w:rsidRDefault="00EF2218" w:rsidP="009A7325">
      <w:pPr>
        <w:pStyle w:val="ListParagraph"/>
        <w:numPr>
          <w:ilvl w:val="1"/>
          <w:numId w:val="48"/>
        </w:numPr>
        <w:jc w:val="both"/>
        <w:rPr>
          <w:b/>
          <w:i/>
        </w:rPr>
      </w:pPr>
      <w:r w:rsidRPr="00EF2218">
        <w:rPr>
          <w:b/>
          <w:i/>
        </w:rPr>
        <w:t>Configuration 1: one panel is active</w:t>
      </w:r>
    </w:p>
    <w:p w:rsidR="00EF2218" w:rsidRDefault="00EF2218" w:rsidP="009A7325">
      <w:pPr>
        <w:pStyle w:val="ListParagraph"/>
        <w:numPr>
          <w:ilvl w:val="1"/>
          <w:numId w:val="48"/>
        </w:numPr>
        <w:jc w:val="both"/>
        <w:rPr>
          <w:b/>
          <w:i/>
        </w:rPr>
      </w:pPr>
      <w:r w:rsidRPr="00EF2218">
        <w:rPr>
          <w:b/>
          <w:i/>
        </w:rPr>
        <w:t xml:space="preserve">Configuration 2: </w:t>
      </w:r>
      <w:r w:rsidR="00CE2ACE">
        <w:rPr>
          <w:b/>
          <w:i/>
        </w:rPr>
        <w:t>b</w:t>
      </w:r>
      <w:r w:rsidRPr="00EF2218">
        <w:rPr>
          <w:b/>
          <w:i/>
        </w:rPr>
        <w:t>oth panels are active a</w:t>
      </w:r>
      <w:r>
        <w:rPr>
          <w:b/>
          <w:i/>
        </w:rPr>
        <w:t>nd UE can select the best panel</w:t>
      </w:r>
    </w:p>
    <w:p w:rsidR="00EF2218" w:rsidRDefault="00EF2218" w:rsidP="009A7325">
      <w:pPr>
        <w:pStyle w:val="ListParagraph"/>
        <w:numPr>
          <w:ilvl w:val="0"/>
          <w:numId w:val="48"/>
        </w:numPr>
        <w:jc w:val="both"/>
        <w:rPr>
          <w:b/>
          <w:i/>
        </w:rPr>
      </w:pPr>
      <w:r>
        <w:rPr>
          <w:b/>
          <w:i/>
        </w:rPr>
        <w:t xml:space="preserve">Methodology 2 (FFS): </w:t>
      </w:r>
      <w:r w:rsidR="00765F57">
        <w:rPr>
          <w:b/>
          <w:i/>
        </w:rPr>
        <w:t>adopting real antenna pattern</w:t>
      </w:r>
    </w:p>
    <w:p w:rsidR="0081223F" w:rsidRPr="00D67E32" w:rsidRDefault="0081223F" w:rsidP="009A7325">
      <w:pPr>
        <w:jc w:val="both"/>
        <w:rPr>
          <w:bCs/>
          <w:iCs/>
          <w:lang w:val="en-US"/>
        </w:rPr>
      </w:pPr>
    </w:p>
    <w:p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rsidR="0040474E" w:rsidRDefault="00F35409" w:rsidP="0040474E">
      <w:pPr>
        <w:jc w:val="both"/>
        <w:rPr>
          <w:lang w:val="en-US"/>
        </w:rPr>
      </w:pPr>
      <w:r>
        <w:rPr>
          <w:lang w:val="en-US"/>
        </w:rPr>
        <w:t>In this contribution</w:t>
      </w:r>
      <w:r w:rsidR="001C7920">
        <w:rPr>
          <w:lang w:val="en-US"/>
        </w:rPr>
        <w:t>,</w:t>
      </w:r>
      <w:r>
        <w:rPr>
          <w:lang w:val="en-US"/>
        </w:rPr>
        <w:t xml:space="preserve"> </w:t>
      </w:r>
      <w:r w:rsidR="0060522D">
        <w:rPr>
          <w:lang w:val="en-US"/>
        </w:rPr>
        <w:t xml:space="preserve">we focused on the simulation assumptions needed to evaluate the impact of UE maximum EIRP and spherical coverage on NR network performance. We looked at both deployment scenarios and UE specific settings to be adopted in the </w:t>
      </w:r>
      <w:proofErr w:type="spellStart"/>
      <w:r w:rsidR="0060522D">
        <w:rPr>
          <w:lang w:val="en-US"/>
        </w:rPr>
        <w:t>Montecarlo</w:t>
      </w:r>
      <w:proofErr w:type="spellEnd"/>
      <w:r w:rsidR="0060522D">
        <w:rPr>
          <w:lang w:val="en-US"/>
        </w:rPr>
        <w:t xml:space="preserve"> simulations. Our proposals are summarized as follows:</w:t>
      </w:r>
    </w:p>
    <w:p w:rsidR="0060522D" w:rsidRPr="009B4E0B" w:rsidRDefault="0060522D" w:rsidP="0060522D">
      <w:pPr>
        <w:rPr>
          <w:b/>
          <w:i/>
        </w:rPr>
      </w:pPr>
      <w:r w:rsidRPr="009B4E0B">
        <w:rPr>
          <w:b/>
          <w:i/>
        </w:rPr>
        <w:t>Proposal 1: to evaluate the impact of UE peak EIRP and spherical coverage to NR network performance, the following deployment scenarios should be considered:</w:t>
      </w:r>
    </w:p>
    <w:p w:rsidR="0060522D" w:rsidRPr="009B4E0B" w:rsidRDefault="0060522D" w:rsidP="0060522D">
      <w:pPr>
        <w:pStyle w:val="ListParagraph"/>
        <w:numPr>
          <w:ilvl w:val="0"/>
          <w:numId w:val="42"/>
        </w:numPr>
        <w:rPr>
          <w:b/>
          <w:i/>
        </w:rPr>
      </w:pPr>
      <w:r w:rsidRPr="009B4E0B">
        <w:rPr>
          <w:b/>
          <w:i/>
        </w:rPr>
        <w:t>Indoor Deployment: as defined in TR 38.803.</w:t>
      </w:r>
    </w:p>
    <w:p w:rsidR="0060522D" w:rsidRPr="009B4E0B" w:rsidRDefault="0060522D" w:rsidP="0060522D">
      <w:pPr>
        <w:pStyle w:val="ListParagraph"/>
        <w:numPr>
          <w:ilvl w:val="0"/>
          <w:numId w:val="42"/>
        </w:numPr>
        <w:rPr>
          <w:b/>
          <w:i/>
        </w:rPr>
      </w:pPr>
      <w:r w:rsidRPr="009B4E0B">
        <w:rPr>
          <w:b/>
          <w:i/>
        </w:rPr>
        <w:t>Urban Micro Deployment: based on TR 38.803 but with the following comments/modifications:</w:t>
      </w:r>
    </w:p>
    <w:p w:rsidR="0060522D" w:rsidRPr="009B4E0B" w:rsidRDefault="0060522D" w:rsidP="0060522D">
      <w:pPr>
        <w:pStyle w:val="ListParagraph"/>
        <w:numPr>
          <w:ilvl w:val="1"/>
          <w:numId w:val="42"/>
        </w:numPr>
        <w:rPr>
          <w:b/>
          <w:i/>
        </w:rPr>
      </w:pPr>
      <w:r w:rsidRPr="009B4E0B">
        <w:rPr>
          <w:b/>
          <w:i/>
        </w:rPr>
        <w:t>Layout is hexagonal with ISD ranging from 100m to 400m</w:t>
      </w:r>
    </w:p>
    <w:p w:rsidR="0060522D" w:rsidRPr="009B4E0B" w:rsidRDefault="0060522D" w:rsidP="0060522D">
      <w:pPr>
        <w:pStyle w:val="ListParagraph"/>
        <w:numPr>
          <w:ilvl w:val="1"/>
          <w:numId w:val="42"/>
        </w:numPr>
        <w:rPr>
          <w:b/>
          <w:i/>
        </w:rPr>
      </w:pPr>
      <w:r w:rsidRPr="009B4E0B">
        <w:rPr>
          <w:b/>
          <w:i/>
        </w:rPr>
        <w:t xml:space="preserve">BS configuration is same as defined in TR 38.803 (same </w:t>
      </w:r>
      <w:r>
        <w:rPr>
          <w:b/>
          <w:i/>
        </w:rPr>
        <w:t xml:space="preserve">EIRP, same </w:t>
      </w:r>
      <w:r w:rsidRPr="009B4E0B">
        <w:rPr>
          <w:b/>
          <w:i/>
        </w:rPr>
        <w:t xml:space="preserve">antenna configuration and 10m height) </w:t>
      </w:r>
    </w:p>
    <w:p w:rsidR="0060522D" w:rsidRPr="009B4E0B" w:rsidRDefault="0060522D" w:rsidP="0060522D">
      <w:pPr>
        <w:pStyle w:val="ListParagraph"/>
        <w:numPr>
          <w:ilvl w:val="1"/>
          <w:numId w:val="42"/>
        </w:numPr>
        <w:rPr>
          <w:b/>
          <w:i/>
        </w:rPr>
      </w:pPr>
      <w:r w:rsidRPr="009B4E0B">
        <w:rPr>
          <w:b/>
          <w:i/>
        </w:rPr>
        <w:t xml:space="preserve">Path loss model same as </w:t>
      </w:r>
      <w:proofErr w:type="spellStart"/>
      <w:r w:rsidRPr="009B4E0B">
        <w:rPr>
          <w:b/>
          <w:i/>
        </w:rPr>
        <w:t>UMi</w:t>
      </w:r>
      <w:proofErr w:type="spellEnd"/>
      <w:r w:rsidRPr="009B4E0B">
        <w:rPr>
          <w:b/>
          <w:i/>
        </w:rPr>
        <w:t xml:space="preserve"> </w:t>
      </w:r>
      <w:r>
        <w:rPr>
          <w:b/>
          <w:i/>
        </w:rPr>
        <w:t>defined in TR 38.803</w:t>
      </w:r>
    </w:p>
    <w:p w:rsidR="0060522D" w:rsidRPr="009B4E0B" w:rsidRDefault="0060522D" w:rsidP="0060522D">
      <w:pPr>
        <w:pStyle w:val="ListParagraph"/>
        <w:numPr>
          <w:ilvl w:val="1"/>
          <w:numId w:val="42"/>
        </w:numPr>
        <w:rPr>
          <w:b/>
          <w:i/>
        </w:rPr>
      </w:pPr>
      <w:r w:rsidRPr="009B4E0B">
        <w:rPr>
          <w:b/>
          <w:i/>
        </w:rPr>
        <w:t>UE-BS minimum distance (2D): 10m</w:t>
      </w:r>
    </w:p>
    <w:p w:rsidR="0060522D" w:rsidRPr="009B4E0B" w:rsidRDefault="0060522D" w:rsidP="0060522D">
      <w:pPr>
        <w:pStyle w:val="ListParagraph"/>
        <w:numPr>
          <w:ilvl w:val="1"/>
          <w:numId w:val="42"/>
        </w:numPr>
        <w:rPr>
          <w:b/>
          <w:i/>
        </w:rPr>
      </w:pPr>
      <w:r w:rsidRPr="009B4E0B">
        <w:rPr>
          <w:b/>
          <w:i/>
        </w:rPr>
        <w:t>UE indoor/outdoor ratio:</w:t>
      </w:r>
    </w:p>
    <w:p w:rsidR="0060522D" w:rsidRPr="009B4E0B" w:rsidRDefault="0060522D" w:rsidP="0060522D">
      <w:pPr>
        <w:pStyle w:val="ListParagraph"/>
        <w:numPr>
          <w:ilvl w:val="2"/>
          <w:numId w:val="42"/>
        </w:numPr>
        <w:rPr>
          <w:b/>
          <w:i/>
        </w:rPr>
      </w:pPr>
      <w:r w:rsidRPr="009B4E0B">
        <w:rPr>
          <w:b/>
          <w:i/>
        </w:rPr>
        <w:t>0% (baseline)</w:t>
      </w:r>
    </w:p>
    <w:p w:rsidR="0060522D" w:rsidRPr="009B4E0B" w:rsidRDefault="0060522D" w:rsidP="0060522D">
      <w:pPr>
        <w:pStyle w:val="ListParagraph"/>
        <w:numPr>
          <w:ilvl w:val="2"/>
          <w:numId w:val="42"/>
        </w:numPr>
        <w:rPr>
          <w:b/>
          <w:i/>
        </w:rPr>
      </w:pPr>
      <w:r w:rsidRPr="009B4E0B">
        <w:rPr>
          <w:b/>
          <w:i/>
        </w:rPr>
        <w:t>20% (baseline)</w:t>
      </w:r>
    </w:p>
    <w:p w:rsidR="00581382" w:rsidRPr="009B4E0B" w:rsidRDefault="00673A75" w:rsidP="00581382">
      <w:pPr>
        <w:pStyle w:val="ListParagraph"/>
        <w:numPr>
          <w:ilvl w:val="2"/>
          <w:numId w:val="42"/>
        </w:numPr>
        <w:rPr>
          <w:b/>
          <w:i/>
        </w:rPr>
      </w:pPr>
      <w:r>
        <w:rPr>
          <w:b/>
          <w:i/>
        </w:rPr>
        <w:t>80%</w:t>
      </w:r>
      <w:r w:rsidR="00581382">
        <w:rPr>
          <w:b/>
          <w:i/>
        </w:rPr>
        <w:t xml:space="preserve"> </w:t>
      </w:r>
      <w:r w:rsidR="00581382" w:rsidRPr="009B4E0B">
        <w:rPr>
          <w:b/>
          <w:i/>
        </w:rPr>
        <w:t>(optional)</w:t>
      </w:r>
    </w:p>
    <w:p w:rsidR="0060522D" w:rsidRPr="009B4E0B" w:rsidRDefault="0060522D" w:rsidP="0060522D">
      <w:pPr>
        <w:pStyle w:val="ListParagraph"/>
        <w:numPr>
          <w:ilvl w:val="0"/>
          <w:numId w:val="42"/>
        </w:numPr>
        <w:rPr>
          <w:b/>
          <w:i/>
        </w:rPr>
      </w:pPr>
      <w:r w:rsidRPr="009B4E0B">
        <w:rPr>
          <w:b/>
          <w:i/>
        </w:rPr>
        <w:t>Urban Macro Deployment: based on TR 38.803 but with the following comments/modifications:</w:t>
      </w:r>
    </w:p>
    <w:p w:rsidR="0060522D" w:rsidRPr="009B4E0B" w:rsidRDefault="0060522D" w:rsidP="0060522D">
      <w:pPr>
        <w:pStyle w:val="ListParagraph"/>
        <w:numPr>
          <w:ilvl w:val="1"/>
          <w:numId w:val="42"/>
        </w:numPr>
        <w:rPr>
          <w:b/>
          <w:i/>
        </w:rPr>
      </w:pPr>
      <w:r w:rsidRPr="009B4E0B">
        <w:rPr>
          <w:b/>
          <w:i/>
        </w:rPr>
        <w:t>ISD ranging from 200m to 500m</w:t>
      </w:r>
    </w:p>
    <w:p w:rsidR="0060522D" w:rsidRPr="009B4E0B" w:rsidRDefault="0060522D" w:rsidP="0060522D">
      <w:pPr>
        <w:pStyle w:val="ListParagraph"/>
        <w:numPr>
          <w:ilvl w:val="1"/>
          <w:numId w:val="42"/>
        </w:numPr>
        <w:rPr>
          <w:b/>
          <w:i/>
        </w:rPr>
      </w:pPr>
      <w:r w:rsidRPr="009B4E0B">
        <w:rPr>
          <w:b/>
          <w:i/>
        </w:rPr>
        <w:t>BS configuration is same as defined in TR 38.803</w:t>
      </w:r>
      <w:r>
        <w:rPr>
          <w:b/>
          <w:i/>
        </w:rPr>
        <w:t xml:space="preserve"> (</w:t>
      </w:r>
      <w:r w:rsidRPr="009B4E0B">
        <w:rPr>
          <w:b/>
          <w:i/>
        </w:rPr>
        <w:t xml:space="preserve">same </w:t>
      </w:r>
      <w:r>
        <w:rPr>
          <w:b/>
          <w:i/>
        </w:rPr>
        <w:t>EIRP, same</w:t>
      </w:r>
      <w:r w:rsidRPr="009B4E0B">
        <w:rPr>
          <w:b/>
          <w:i/>
        </w:rPr>
        <w:t xml:space="preserve"> configuration and 25m height) </w:t>
      </w:r>
    </w:p>
    <w:p w:rsidR="0060522D" w:rsidRPr="009B4E0B" w:rsidRDefault="0060522D" w:rsidP="0060522D">
      <w:pPr>
        <w:pStyle w:val="ListParagraph"/>
        <w:numPr>
          <w:ilvl w:val="1"/>
          <w:numId w:val="42"/>
        </w:numPr>
        <w:rPr>
          <w:b/>
          <w:i/>
        </w:rPr>
      </w:pPr>
      <w:r w:rsidRPr="009B4E0B">
        <w:rPr>
          <w:b/>
          <w:i/>
        </w:rPr>
        <w:t xml:space="preserve">Path loss model same as </w:t>
      </w:r>
      <w:proofErr w:type="spellStart"/>
      <w:r w:rsidRPr="009B4E0B">
        <w:rPr>
          <w:b/>
          <w:i/>
        </w:rPr>
        <w:t>UMa</w:t>
      </w:r>
      <w:proofErr w:type="spellEnd"/>
      <w:r w:rsidRPr="009B4E0B">
        <w:rPr>
          <w:b/>
          <w:i/>
        </w:rPr>
        <w:t xml:space="preserve"> </w:t>
      </w:r>
      <w:r>
        <w:rPr>
          <w:b/>
          <w:i/>
        </w:rPr>
        <w:t>defined in TR 38.803</w:t>
      </w:r>
    </w:p>
    <w:p w:rsidR="0060522D" w:rsidRPr="009B4E0B" w:rsidRDefault="0060522D" w:rsidP="0060522D">
      <w:pPr>
        <w:pStyle w:val="ListParagraph"/>
        <w:numPr>
          <w:ilvl w:val="1"/>
          <w:numId w:val="42"/>
        </w:numPr>
        <w:rPr>
          <w:b/>
          <w:i/>
        </w:rPr>
      </w:pPr>
      <w:r w:rsidRPr="009B4E0B">
        <w:rPr>
          <w:b/>
          <w:i/>
        </w:rPr>
        <w:t>UE-BS minimum distance (2D): 25m</w:t>
      </w:r>
    </w:p>
    <w:p w:rsidR="0060522D" w:rsidRPr="009B4E0B" w:rsidRDefault="0060522D" w:rsidP="0060522D">
      <w:pPr>
        <w:pStyle w:val="ListParagraph"/>
        <w:numPr>
          <w:ilvl w:val="1"/>
          <w:numId w:val="42"/>
        </w:numPr>
        <w:rPr>
          <w:b/>
          <w:i/>
        </w:rPr>
      </w:pPr>
      <w:r w:rsidRPr="009B4E0B">
        <w:rPr>
          <w:b/>
          <w:i/>
        </w:rPr>
        <w:t>UE indoor/outdoor ratio:</w:t>
      </w:r>
    </w:p>
    <w:p w:rsidR="0060522D" w:rsidRPr="009B4E0B" w:rsidRDefault="0060522D" w:rsidP="0060522D">
      <w:pPr>
        <w:pStyle w:val="ListParagraph"/>
        <w:numPr>
          <w:ilvl w:val="2"/>
          <w:numId w:val="42"/>
        </w:numPr>
        <w:rPr>
          <w:b/>
          <w:i/>
        </w:rPr>
      </w:pPr>
      <w:r w:rsidRPr="009B4E0B">
        <w:rPr>
          <w:b/>
          <w:i/>
        </w:rPr>
        <w:t>0% (baseline)</w:t>
      </w:r>
    </w:p>
    <w:p w:rsidR="0060522D" w:rsidRPr="009B4E0B" w:rsidRDefault="0060522D" w:rsidP="0060522D">
      <w:pPr>
        <w:pStyle w:val="ListParagraph"/>
        <w:numPr>
          <w:ilvl w:val="2"/>
          <w:numId w:val="42"/>
        </w:numPr>
        <w:rPr>
          <w:b/>
          <w:i/>
        </w:rPr>
      </w:pPr>
      <w:r w:rsidRPr="009B4E0B">
        <w:rPr>
          <w:b/>
          <w:i/>
        </w:rPr>
        <w:t>20% (baseline)</w:t>
      </w:r>
    </w:p>
    <w:p w:rsidR="0060522D" w:rsidRPr="009B4E0B" w:rsidRDefault="00581382" w:rsidP="0060522D">
      <w:pPr>
        <w:pStyle w:val="ListParagraph"/>
        <w:numPr>
          <w:ilvl w:val="2"/>
          <w:numId w:val="42"/>
        </w:numPr>
        <w:rPr>
          <w:b/>
          <w:i/>
        </w:rPr>
      </w:pPr>
      <w:r>
        <w:rPr>
          <w:b/>
          <w:i/>
        </w:rPr>
        <w:t>8</w:t>
      </w:r>
      <w:r w:rsidR="0060522D" w:rsidRPr="009B4E0B">
        <w:rPr>
          <w:b/>
          <w:i/>
        </w:rPr>
        <w:t>0% (optional)</w:t>
      </w:r>
    </w:p>
    <w:p w:rsidR="0060522D" w:rsidRPr="009B4E0B" w:rsidRDefault="0060522D" w:rsidP="0060522D">
      <w:pPr>
        <w:rPr>
          <w:b/>
          <w:i/>
        </w:rPr>
      </w:pPr>
      <w:r>
        <w:rPr>
          <w:b/>
          <w:i/>
        </w:rPr>
        <w:t>Proposal 2</w:t>
      </w:r>
      <w:r w:rsidRPr="009B4E0B">
        <w:rPr>
          <w:b/>
          <w:i/>
        </w:rPr>
        <w:t xml:space="preserve">: to evaluate the impact of UE peak EIRP and spherical coverage to NR network performance, the following </w:t>
      </w:r>
      <w:r>
        <w:rPr>
          <w:b/>
          <w:i/>
        </w:rPr>
        <w:t>modifications to UE settings</w:t>
      </w:r>
      <w:r w:rsidRPr="009B4E0B">
        <w:rPr>
          <w:b/>
          <w:i/>
        </w:rPr>
        <w:t xml:space="preserve"> should be considered:</w:t>
      </w:r>
    </w:p>
    <w:p w:rsidR="0060522D" w:rsidRPr="00DE075A" w:rsidRDefault="0060522D" w:rsidP="0060522D">
      <w:pPr>
        <w:pStyle w:val="ListParagraph"/>
        <w:numPr>
          <w:ilvl w:val="0"/>
          <w:numId w:val="45"/>
        </w:numPr>
        <w:rPr>
          <w:b/>
          <w:i/>
        </w:rPr>
      </w:pPr>
      <w:r w:rsidRPr="00DE075A">
        <w:rPr>
          <w:b/>
          <w:i/>
        </w:rPr>
        <w:t>UE resource allocation: 200MHz and 20MHz</w:t>
      </w:r>
    </w:p>
    <w:p w:rsidR="0060522D" w:rsidRPr="00DE075A" w:rsidRDefault="0060522D" w:rsidP="0060522D">
      <w:pPr>
        <w:pStyle w:val="ListParagraph"/>
        <w:numPr>
          <w:ilvl w:val="0"/>
          <w:numId w:val="45"/>
        </w:numPr>
        <w:rPr>
          <w:b/>
          <w:i/>
        </w:rPr>
      </w:pPr>
      <w:r w:rsidRPr="00DE075A">
        <w:rPr>
          <w:b/>
          <w:i/>
        </w:rPr>
        <w:t>Power control setting should be updated considering a target SNR of 22dB</w:t>
      </w:r>
    </w:p>
    <w:p w:rsidR="0060522D" w:rsidRPr="00DE075A" w:rsidRDefault="0060522D" w:rsidP="0060522D">
      <w:pPr>
        <w:pStyle w:val="ListParagraph"/>
        <w:numPr>
          <w:ilvl w:val="0"/>
          <w:numId w:val="45"/>
        </w:numPr>
        <w:rPr>
          <w:b/>
          <w:i/>
        </w:rPr>
      </w:pPr>
      <w:r w:rsidRPr="00DE075A">
        <w:rPr>
          <w:b/>
          <w:i/>
        </w:rPr>
        <w:t>Two possible options for UE elevation should be discussed:</w:t>
      </w:r>
    </w:p>
    <w:p w:rsidR="0060522D" w:rsidRPr="00DE075A" w:rsidRDefault="0060522D" w:rsidP="0060522D">
      <w:pPr>
        <w:pStyle w:val="ListParagraph"/>
        <w:numPr>
          <w:ilvl w:val="1"/>
          <w:numId w:val="45"/>
        </w:numPr>
        <w:rPr>
          <w:b/>
          <w:i/>
        </w:rPr>
      </w:pPr>
      <w:r w:rsidRPr="00DE075A">
        <w:rPr>
          <w:b/>
          <w:i/>
        </w:rPr>
        <w:t>Option 1: Random distribution (uniform from 0 to 180)</w:t>
      </w:r>
    </w:p>
    <w:p w:rsidR="0060522D" w:rsidRDefault="0060522D" w:rsidP="0060522D">
      <w:pPr>
        <w:pStyle w:val="ListParagraph"/>
        <w:numPr>
          <w:ilvl w:val="1"/>
          <w:numId w:val="45"/>
        </w:numPr>
        <w:rPr>
          <w:b/>
          <w:i/>
        </w:rPr>
      </w:pPr>
      <w:r w:rsidRPr="00DE075A">
        <w:rPr>
          <w:b/>
          <w:i/>
        </w:rPr>
        <w:t>Option 2: Gaussian distribution, wi</w:t>
      </w:r>
      <w:r>
        <w:rPr>
          <w:b/>
          <w:i/>
        </w:rPr>
        <w:t>th parametric mean and variance</w:t>
      </w:r>
    </w:p>
    <w:p w:rsidR="0060522D" w:rsidRPr="00DA1F34" w:rsidRDefault="00DA1F34" w:rsidP="0060522D">
      <w:pPr>
        <w:pStyle w:val="ListParagraph"/>
        <w:numPr>
          <w:ilvl w:val="0"/>
          <w:numId w:val="45"/>
        </w:numPr>
        <w:rPr>
          <w:b/>
          <w:i/>
        </w:rPr>
      </w:pPr>
      <w:r w:rsidRPr="00DA1F34">
        <w:rPr>
          <w:b/>
          <w:i/>
        </w:rPr>
        <w:t>to use a fix gain of -20</w:t>
      </w:r>
      <w:r w:rsidR="0060522D" w:rsidRPr="00DA1F34">
        <w:rPr>
          <w:b/>
          <w:i/>
        </w:rPr>
        <w:t>dB in the semi-sphere opposite to the boresight direction of the panel</w:t>
      </w:r>
    </w:p>
    <w:p w:rsidR="0060522D" w:rsidRDefault="0060522D" w:rsidP="0060522D">
      <w:pPr>
        <w:rPr>
          <w:b/>
          <w:i/>
        </w:rPr>
      </w:pPr>
      <w:r w:rsidRPr="0060522D">
        <w:rPr>
          <w:b/>
          <w:i/>
        </w:rPr>
        <w:t>Proposal 3: to adopt a hand blockage model based on Table 1.</w:t>
      </w:r>
    </w:p>
    <w:p w:rsidR="0060522D" w:rsidRDefault="0060522D" w:rsidP="0060522D">
      <w:pPr>
        <w:rPr>
          <w:b/>
          <w:i/>
        </w:rPr>
      </w:pPr>
      <w:r>
        <w:rPr>
          <w:b/>
          <w:i/>
        </w:rPr>
        <w:t>Proposal 4</w:t>
      </w:r>
      <w:r w:rsidRPr="009B4E0B">
        <w:rPr>
          <w:b/>
          <w:i/>
        </w:rPr>
        <w:t>:</w:t>
      </w:r>
      <w:r>
        <w:rPr>
          <w:b/>
          <w:i/>
        </w:rPr>
        <w:t xml:space="preserve"> </w:t>
      </w:r>
      <w:r w:rsidRPr="009B4E0B">
        <w:rPr>
          <w:b/>
          <w:i/>
        </w:rPr>
        <w:t xml:space="preserve">to evaluate the impact of spherical coverage to NR network performance, the following </w:t>
      </w:r>
      <w:r>
        <w:rPr>
          <w:b/>
          <w:i/>
        </w:rPr>
        <w:t xml:space="preserve">methodologies </w:t>
      </w:r>
      <w:r w:rsidRPr="009B4E0B">
        <w:rPr>
          <w:b/>
          <w:i/>
        </w:rPr>
        <w:t>should be considered:</w:t>
      </w:r>
    </w:p>
    <w:p w:rsidR="0060522D" w:rsidRDefault="0060522D" w:rsidP="0060522D">
      <w:pPr>
        <w:pStyle w:val="ListParagraph"/>
        <w:numPr>
          <w:ilvl w:val="0"/>
          <w:numId w:val="48"/>
        </w:numPr>
        <w:rPr>
          <w:b/>
          <w:i/>
        </w:rPr>
      </w:pPr>
      <w:r>
        <w:rPr>
          <w:b/>
          <w:i/>
        </w:rPr>
        <w:t xml:space="preserve">Methodology 1 (baseline): comparison between the following two UE configurations: </w:t>
      </w:r>
    </w:p>
    <w:p w:rsidR="0060522D" w:rsidRPr="00EF2218" w:rsidRDefault="0060522D" w:rsidP="0060522D">
      <w:pPr>
        <w:pStyle w:val="ListParagraph"/>
        <w:numPr>
          <w:ilvl w:val="1"/>
          <w:numId w:val="48"/>
        </w:numPr>
        <w:rPr>
          <w:b/>
          <w:i/>
        </w:rPr>
      </w:pPr>
      <w:r w:rsidRPr="00EF2218">
        <w:rPr>
          <w:b/>
          <w:i/>
        </w:rPr>
        <w:t>Configuration 1: one panel is active</w:t>
      </w:r>
    </w:p>
    <w:p w:rsidR="0060522D" w:rsidRDefault="0060522D" w:rsidP="0060522D">
      <w:pPr>
        <w:pStyle w:val="ListParagraph"/>
        <w:numPr>
          <w:ilvl w:val="1"/>
          <w:numId w:val="48"/>
        </w:numPr>
        <w:rPr>
          <w:b/>
          <w:i/>
        </w:rPr>
      </w:pPr>
      <w:r w:rsidRPr="00EF2218">
        <w:rPr>
          <w:b/>
          <w:i/>
        </w:rPr>
        <w:t xml:space="preserve">Configuration 2: </w:t>
      </w:r>
      <w:r>
        <w:rPr>
          <w:b/>
          <w:i/>
        </w:rPr>
        <w:t>b</w:t>
      </w:r>
      <w:r w:rsidRPr="00EF2218">
        <w:rPr>
          <w:b/>
          <w:i/>
        </w:rPr>
        <w:t>oth panels are active a</w:t>
      </w:r>
      <w:r>
        <w:rPr>
          <w:b/>
          <w:i/>
        </w:rPr>
        <w:t>nd UE can select the best panel</w:t>
      </w:r>
    </w:p>
    <w:p w:rsidR="0060522D" w:rsidRDefault="0060522D" w:rsidP="0060522D">
      <w:pPr>
        <w:pStyle w:val="ListParagraph"/>
        <w:numPr>
          <w:ilvl w:val="0"/>
          <w:numId w:val="48"/>
        </w:numPr>
        <w:rPr>
          <w:b/>
          <w:i/>
        </w:rPr>
      </w:pPr>
      <w:r>
        <w:rPr>
          <w:b/>
          <w:i/>
        </w:rPr>
        <w:t>Methodology 2 (FFS): adopting real antenna pattern</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D97F1F" w:rsidRDefault="00052E3E" w:rsidP="00DB3EC8">
      <w:pPr>
        <w:pStyle w:val="ListParagraph"/>
        <w:numPr>
          <w:ilvl w:val="0"/>
          <w:numId w:val="2"/>
        </w:numPr>
        <w:jc w:val="both"/>
        <w:rPr>
          <w:lang w:val="en-US"/>
        </w:rPr>
      </w:pPr>
      <w:bookmarkStart w:id="4" w:name="_Ref492892245"/>
      <w:bookmarkStart w:id="5" w:name="_Ref489521993"/>
      <w:bookmarkStart w:id="6" w:name="_Ref481663184"/>
      <w:bookmarkStart w:id="7" w:name="_Ref473813022"/>
      <w:bookmarkStart w:id="8" w:name="_Ref465947019"/>
      <w:r w:rsidRPr="00052E3E">
        <w:t>R4-1714445</w:t>
      </w:r>
      <w:r w:rsidR="00D97F1F">
        <w:rPr>
          <w:lang w:val="en-US"/>
        </w:rPr>
        <w:t>, “</w:t>
      </w:r>
      <w:r w:rsidRPr="00052E3E">
        <w:rPr>
          <w:lang w:val="de-DE"/>
        </w:rPr>
        <w:t xml:space="preserve">WF on </w:t>
      </w:r>
      <w:r w:rsidRPr="00052E3E">
        <w:t>pi/2 BPSK spectrum shaping and</w:t>
      </w:r>
      <w:r w:rsidRPr="00052E3E">
        <w:rPr>
          <w:lang w:val="de-DE"/>
        </w:rPr>
        <w:t xml:space="preserve"> power </w:t>
      </w:r>
      <w:proofErr w:type="spellStart"/>
      <w:r w:rsidRPr="00052E3E">
        <w:rPr>
          <w:lang w:val="de-DE"/>
        </w:rPr>
        <w:t>class</w:t>
      </w:r>
      <w:proofErr w:type="spellEnd"/>
      <w:r w:rsidRPr="00052E3E">
        <w:rPr>
          <w:lang w:val="de-DE"/>
        </w:rPr>
        <w:t xml:space="preserve"> in FR2</w:t>
      </w:r>
      <w:r>
        <w:rPr>
          <w:lang w:val="de-DE"/>
        </w:rPr>
        <w:t xml:space="preserve">“, </w:t>
      </w:r>
      <w:r w:rsidRPr="00052E3E">
        <w:rPr>
          <w:lang w:val="de-DE"/>
        </w:rPr>
        <w:t>Intel Corporation, Apple, Qualcomm, IITH, LGE, Nokia, Huawei, Motorola Mobility</w:t>
      </w:r>
      <w:r w:rsidR="00D97F1F">
        <w:rPr>
          <w:lang w:val="en-US"/>
        </w:rPr>
        <w:t>.</w:t>
      </w:r>
      <w:bookmarkEnd w:id="4"/>
    </w:p>
    <w:p w:rsidR="00782FF0" w:rsidRPr="0081223F" w:rsidRDefault="00052E3E" w:rsidP="00DB3EC8">
      <w:pPr>
        <w:pStyle w:val="ListParagraph"/>
        <w:numPr>
          <w:ilvl w:val="0"/>
          <w:numId w:val="2"/>
        </w:numPr>
        <w:spacing w:after="160" w:line="256" w:lineRule="auto"/>
        <w:jc w:val="both"/>
        <w:textAlignment w:val="auto"/>
        <w:rPr>
          <w:lang w:val="en-US"/>
        </w:rPr>
      </w:pPr>
      <w:bookmarkStart w:id="9" w:name="_Ref489890177"/>
      <w:bookmarkStart w:id="10" w:name="_Ref503262415"/>
      <w:bookmarkEnd w:id="5"/>
      <w:bookmarkEnd w:id="6"/>
      <w:bookmarkEnd w:id="7"/>
      <w:bookmarkEnd w:id="8"/>
      <w:r w:rsidRPr="00052E3E">
        <w:t>R4-1714455</w:t>
      </w:r>
      <w:bookmarkEnd w:id="9"/>
      <w:r>
        <w:t>, “</w:t>
      </w:r>
      <w:r w:rsidRPr="00052E3E">
        <w:rPr>
          <w:lang w:val="de-DE"/>
        </w:rPr>
        <w:t xml:space="preserve">WF on </w:t>
      </w:r>
      <w:proofErr w:type="spellStart"/>
      <w:r w:rsidRPr="00052E3E">
        <w:rPr>
          <w:lang w:val="de-DE"/>
        </w:rPr>
        <w:t>spherical</w:t>
      </w:r>
      <w:proofErr w:type="spellEnd"/>
      <w:r w:rsidRPr="00052E3E">
        <w:rPr>
          <w:lang w:val="de-DE"/>
        </w:rPr>
        <w:t xml:space="preserve"> </w:t>
      </w:r>
      <w:proofErr w:type="spellStart"/>
      <w:r w:rsidRPr="00052E3E">
        <w:rPr>
          <w:lang w:val="de-DE"/>
        </w:rPr>
        <w:t>coverage</w:t>
      </w:r>
      <w:proofErr w:type="spellEnd"/>
      <w:r w:rsidRPr="00052E3E">
        <w:rPr>
          <w:lang w:val="de-DE"/>
        </w:rPr>
        <w:t xml:space="preserve"> in FR2</w:t>
      </w:r>
      <w:r>
        <w:t xml:space="preserve">”, </w:t>
      </w:r>
      <w:r w:rsidRPr="00052E3E">
        <w:t xml:space="preserve">Samsung, Apple, LGE, Intel, </w:t>
      </w:r>
      <w:proofErr w:type="spellStart"/>
      <w:r w:rsidRPr="00052E3E">
        <w:t>Oppo</w:t>
      </w:r>
      <w:proofErr w:type="spellEnd"/>
      <w:r w:rsidRPr="00052E3E">
        <w:t xml:space="preserve">, Xiaomi, Vivo, </w:t>
      </w:r>
      <w:proofErr w:type="spellStart"/>
      <w:r w:rsidRPr="00052E3E">
        <w:t>MediaTek</w:t>
      </w:r>
      <w:proofErr w:type="spellEnd"/>
      <w:r>
        <w:t>.</w:t>
      </w:r>
      <w:bookmarkEnd w:id="10"/>
    </w:p>
    <w:p w:rsidR="0081223F" w:rsidRDefault="0081223F" w:rsidP="00DB3EC8">
      <w:pPr>
        <w:pStyle w:val="ListParagraph"/>
        <w:numPr>
          <w:ilvl w:val="0"/>
          <w:numId w:val="2"/>
        </w:numPr>
        <w:spacing w:after="160" w:line="256" w:lineRule="auto"/>
        <w:jc w:val="both"/>
        <w:textAlignment w:val="auto"/>
        <w:rPr>
          <w:lang w:val="en-US"/>
        </w:rPr>
      </w:pPr>
      <w:bookmarkStart w:id="11" w:name="_Ref503263719"/>
      <w:r w:rsidRPr="0081223F">
        <w:rPr>
          <w:lang w:val="en-US"/>
        </w:rPr>
        <w:t>3GPP TS 38.101-2 V15.0.0 (2017-12), “3rd Generation Partnership Project; Technical Specification Group Radio Access Network; NR; User Equipment (UE) radio transmission and reception; Part 2: Range 2 Standalone</w:t>
      </w:r>
      <w:r>
        <w:rPr>
          <w:lang w:val="en-US"/>
        </w:rPr>
        <w:t xml:space="preserve"> </w:t>
      </w:r>
      <w:r w:rsidRPr="0081223F">
        <w:rPr>
          <w:lang w:val="en-US"/>
        </w:rPr>
        <w:t>(Release 15)”</w:t>
      </w:r>
      <w:bookmarkEnd w:id="11"/>
      <w:r w:rsidR="00C5504C">
        <w:rPr>
          <w:lang w:val="en-US"/>
        </w:rPr>
        <w:t>.</w:t>
      </w:r>
    </w:p>
    <w:p w:rsidR="0081223F" w:rsidRDefault="00DA1F34" w:rsidP="00DB3EC8">
      <w:pPr>
        <w:pStyle w:val="ListParagraph"/>
        <w:numPr>
          <w:ilvl w:val="0"/>
          <w:numId w:val="2"/>
        </w:numPr>
        <w:spacing w:after="160" w:line="256" w:lineRule="auto"/>
        <w:jc w:val="both"/>
        <w:textAlignment w:val="auto"/>
        <w:rPr>
          <w:lang w:val="en-US"/>
        </w:rPr>
      </w:pPr>
      <w:bookmarkStart w:id="12" w:name="_Ref503264569"/>
      <w:r w:rsidRPr="00DA1F34">
        <w:rPr>
          <w:lang w:val="en-US"/>
        </w:rPr>
        <w:t>R4-1800861</w:t>
      </w:r>
      <w:r w:rsidR="0081223F">
        <w:rPr>
          <w:lang w:val="en-US"/>
        </w:rPr>
        <w:t>, “</w:t>
      </w:r>
      <w:r w:rsidRPr="00DA1F34">
        <w:rPr>
          <w:lang w:val="en-US"/>
        </w:rPr>
        <w:t>On mmW NR Coverage and Capacity - Sensitivity to UE peak EIRP</w:t>
      </w:r>
      <w:r w:rsidR="0081223F">
        <w:rPr>
          <w:lang w:val="en-US"/>
        </w:rPr>
        <w:t>”, Qualcomm Incorporated.</w:t>
      </w:r>
      <w:bookmarkEnd w:id="12"/>
    </w:p>
    <w:p w:rsidR="0081223F" w:rsidRDefault="00DA1F34" w:rsidP="00DB3EC8">
      <w:pPr>
        <w:pStyle w:val="ListParagraph"/>
        <w:numPr>
          <w:ilvl w:val="0"/>
          <w:numId w:val="2"/>
        </w:numPr>
        <w:spacing w:after="160" w:line="256" w:lineRule="auto"/>
        <w:jc w:val="both"/>
        <w:textAlignment w:val="auto"/>
        <w:rPr>
          <w:lang w:val="en-US"/>
        </w:rPr>
      </w:pPr>
      <w:bookmarkStart w:id="13" w:name="_Ref503264571"/>
      <w:r>
        <w:rPr>
          <w:lang w:val="en-US"/>
        </w:rPr>
        <w:lastRenderedPageBreak/>
        <w:t>R4-1800862</w:t>
      </w:r>
      <w:r w:rsidR="0081223F">
        <w:rPr>
          <w:lang w:val="en-US"/>
        </w:rPr>
        <w:t>, “</w:t>
      </w:r>
      <w:r w:rsidRPr="00DA1F34">
        <w:rPr>
          <w:lang w:val="en-US"/>
        </w:rPr>
        <w:t>On mmW NR Coverage and Capacity - Impact of Spherical Coverage</w:t>
      </w:r>
      <w:r w:rsidR="0081223F">
        <w:rPr>
          <w:lang w:val="en-US"/>
        </w:rPr>
        <w:t>”, Qualcomm Incorporated.</w:t>
      </w:r>
      <w:bookmarkEnd w:id="13"/>
    </w:p>
    <w:p w:rsidR="00496B1A" w:rsidRDefault="00496B1A" w:rsidP="00DB3EC8">
      <w:pPr>
        <w:pStyle w:val="ListParagraph"/>
        <w:numPr>
          <w:ilvl w:val="0"/>
          <w:numId w:val="2"/>
        </w:numPr>
        <w:jc w:val="both"/>
        <w:rPr>
          <w:lang w:val="en-US"/>
        </w:rPr>
      </w:pPr>
      <w:bookmarkStart w:id="14" w:name="_Ref503265224"/>
      <w:r>
        <w:rPr>
          <w:lang w:val="en-US"/>
        </w:rPr>
        <w:t>3GPP TR 38.803, “</w:t>
      </w:r>
      <w:r w:rsidRPr="00EF34CA">
        <w:rPr>
          <w:lang w:val="en-US"/>
        </w:rPr>
        <w:t>Study on new radio access technology: Radio Frequency (RF) and co-existence aspects</w:t>
      </w:r>
      <w:r>
        <w:rPr>
          <w:lang w:val="en-US"/>
        </w:rPr>
        <w:t>”, V14.0.0.</w:t>
      </w:r>
      <w:bookmarkEnd w:id="14"/>
    </w:p>
    <w:p w:rsidR="0018187A" w:rsidRDefault="0018187A" w:rsidP="00DB3EC8">
      <w:pPr>
        <w:pStyle w:val="ListParagraph"/>
        <w:numPr>
          <w:ilvl w:val="0"/>
          <w:numId w:val="2"/>
        </w:numPr>
        <w:jc w:val="both"/>
        <w:rPr>
          <w:lang w:val="en-US"/>
        </w:rPr>
      </w:pPr>
      <w:bookmarkStart w:id="15" w:name="_Ref503804089"/>
      <w:r>
        <w:rPr>
          <w:lang w:val="en-US"/>
        </w:rPr>
        <w:t>3GPP TR 38.901, “</w:t>
      </w:r>
      <w:r w:rsidRPr="00147F39">
        <w:rPr>
          <w:lang w:eastAsia="ko-KR"/>
        </w:rPr>
        <w:t>Study on channel model for frequencies from 0.5 to 100 GHz</w:t>
      </w:r>
      <w:r>
        <w:rPr>
          <w:lang w:val="en-US"/>
        </w:rPr>
        <w:t>”, V14.3.0.</w:t>
      </w:r>
      <w:bookmarkEnd w:id="15"/>
    </w:p>
    <w:p w:rsidR="00C5504C" w:rsidRPr="00C5504C" w:rsidRDefault="00C5504C" w:rsidP="00DB3EC8">
      <w:pPr>
        <w:pStyle w:val="ListParagraph"/>
        <w:numPr>
          <w:ilvl w:val="0"/>
          <w:numId w:val="2"/>
        </w:numPr>
        <w:jc w:val="both"/>
        <w:rPr>
          <w:lang w:val="en-US"/>
        </w:rPr>
      </w:pPr>
      <w:bookmarkStart w:id="16" w:name="_Ref503284687"/>
      <w:bookmarkStart w:id="17" w:name="_Ref503804242"/>
      <w:r w:rsidRPr="00C5504C">
        <w:rPr>
          <w:lang w:val="en-US"/>
        </w:rPr>
        <w:t xml:space="preserve">“Statistical Blockage Modeling and Robustness of Beamforming in </w:t>
      </w:r>
      <w:proofErr w:type="spellStart"/>
      <w:r w:rsidRPr="00C5504C">
        <w:rPr>
          <w:lang w:val="en-US"/>
        </w:rPr>
        <w:t>Millmeter</w:t>
      </w:r>
      <w:proofErr w:type="spellEnd"/>
      <w:r w:rsidRPr="00C5504C">
        <w:rPr>
          <w:lang w:val="en-US"/>
        </w:rPr>
        <w:t xml:space="preserve"> Wave Systems”, Vasanthan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Tassoudji, Ozge </w:t>
      </w:r>
      <w:proofErr w:type="spellStart"/>
      <w:r w:rsidRPr="00C5504C">
        <w:rPr>
          <w:lang w:val="en-US"/>
        </w:rPr>
        <w:t>Hizir</w:t>
      </w:r>
      <w:proofErr w:type="spellEnd"/>
      <w:r w:rsidRPr="00C5504C">
        <w:rPr>
          <w:lang w:val="en-US"/>
        </w:rPr>
        <w:t xml:space="preserve"> Koymen, Ashwin Sampath, and Junyi Li</w:t>
      </w:r>
      <w:r>
        <w:rPr>
          <w:lang w:val="en-US"/>
        </w:rPr>
        <w:t xml:space="preserve">. Submitted to </w:t>
      </w:r>
      <w:r w:rsidRPr="00C5504C">
        <w:rPr>
          <w:i/>
          <w:lang w:val="en-US"/>
        </w:rPr>
        <w:t>IEEE Transactions on Antennas and Propagation</w:t>
      </w:r>
      <w:r>
        <w:rPr>
          <w:lang w:val="en-US"/>
        </w:rPr>
        <w:t xml:space="preserve">, available at: </w:t>
      </w:r>
      <w:bookmarkEnd w:id="16"/>
      <w:r w:rsidR="00E03A2A">
        <w:rPr>
          <w:lang w:val="en-US"/>
        </w:rPr>
        <w:fldChar w:fldCharType="begin"/>
      </w:r>
      <w:r w:rsidR="00E03A2A">
        <w:rPr>
          <w:lang w:val="en-US"/>
        </w:rPr>
        <w:instrText xml:space="preserve"> HYPERLINK "</w:instrText>
      </w:r>
      <w:r w:rsidR="00E03A2A" w:rsidRPr="00E03A2A">
        <w:rPr>
          <w:lang w:val="en-US"/>
        </w:rPr>
        <w:instrText>https://arxiv.org/abs/1801.03346</w:instrText>
      </w:r>
      <w:r w:rsidR="00E03A2A">
        <w:rPr>
          <w:lang w:val="en-US"/>
        </w:rPr>
        <w:instrText xml:space="preserve">" </w:instrText>
      </w:r>
      <w:r w:rsidR="00E03A2A">
        <w:rPr>
          <w:lang w:val="en-US"/>
        </w:rPr>
        <w:fldChar w:fldCharType="separate"/>
      </w:r>
      <w:r w:rsidR="00E03A2A" w:rsidRPr="004C2081">
        <w:rPr>
          <w:rStyle w:val="Hyperlink"/>
          <w:lang w:val="en-US"/>
        </w:rPr>
        <w:t>https://arxiv.org/abs/1801.03346</w:t>
      </w:r>
      <w:r w:rsidR="00E03A2A">
        <w:rPr>
          <w:lang w:val="en-US"/>
        </w:rPr>
        <w:fldChar w:fldCharType="end"/>
      </w:r>
      <w:bookmarkEnd w:id="17"/>
      <w:r w:rsidR="00CC41CC">
        <w:rPr>
          <w:lang w:val="en-US"/>
        </w:rPr>
        <w:t>.</w:t>
      </w:r>
      <w:bookmarkStart w:id="18" w:name="_GoBack"/>
      <w:bookmarkEnd w:id="18"/>
      <w:r w:rsidR="00E03A2A">
        <w:rPr>
          <w:lang w:val="en-US"/>
        </w:rPr>
        <w:t xml:space="preserve"> </w:t>
      </w:r>
      <w:r w:rsidR="00E03A2A" w:rsidRPr="00E03A2A">
        <w:rPr>
          <w:lang w:val="en-US"/>
        </w:rPr>
        <w:t xml:space="preserve">  </w:t>
      </w:r>
    </w:p>
    <w:p w:rsidR="00496B1A" w:rsidRPr="0081223F" w:rsidRDefault="00496B1A" w:rsidP="00496B1A">
      <w:pPr>
        <w:pStyle w:val="ListParagraph"/>
        <w:spacing w:after="160" w:line="256" w:lineRule="auto"/>
        <w:ind w:left="360"/>
        <w:jc w:val="both"/>
        <w:textAlignment w:val="auto"/>
        <w:rPr>
          <w:lang w:val="en-US"/>
        </w:rPr>
      </w:pPr>
    </w:p>
    <w:p w:rsidR="0081223F" w:rsidRPr="0081223F" w:rsidRDefault="0081223F" w:rsidP="0081223F">
      <w:pPr>
        <w:spacing w:after="160" w:line="256" w:lineRule="auto"/>
        <w:jc w:val="both"/>
        <w:rPr>
          <w:lang w:val="en-US"/>
        </w:rPr>
      </w:pPr>
    </w:p>
    <w:p w:rsidR="005B0F9F" w:rsidRPr="00C43FB7" w:rsidRDefault="005B0F9F" w:rsidP="00782FF0">
      <w:pPr>
        <w:pStyle w:val="ListParagraph"/>
        <w:ind w:left="360"/>
        <w:jc w:val="both"/>
        <w:rPr>
          <w:lang w:val="en-US"/>
        </w:rPr>
      </w:pPr>
    </w:p>
    <w:sectPr w:rsidR="005B0F9F" w:rsidRPr="00C43FB7"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5AA" w:rsidRDefault="004C05AA">
      <w:r>
        <w:separator/>
      </w:r>
    </w:p>
  </w:endnote>
  <w:endnote w:type="continuationSeparator" w:id="0">
    <w:p w:rsidR="004C05AA" w:rsidRDefault="004C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23F" w:rsidRDefault="008122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1223F" w:rsidRDefault="00812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23F" w:rsidRDefault="008122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41CC">
      <w:rPr>
        <w:rStyle w:val="PageNumber"/>
      </w:rPr>
      <w:t>6</w:t>
    </w:r>
    <w:r>
      <w:rPr>
        <w:rStyle w:val="PageNumber"/>
      </w:rPr>
      <w:fldChar w:fldCharType="end"/>
    </w:r>
  </w:p>
  <w:p w:rsidR="0081223F" w:rsidRDefault="008122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5AA" w:rsidRDefault="004C05AA">
      <w:r>
        <w:separator/>
      </w:r>
    </w:p>
  </w:footnote>
  <w:footnote w:type="continuationSeparator" w:id="0">
    <w:p w:rsidR="004C05AA" w:rsidRDefault="004C0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3C8"/>
    <w:multiLevelType w:val="hybridMultilevel"/>
    <w:tmpl w:val="E7C8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0" w15:restartNumberingAfterBreak="0">
    <w:nsid w:val="144E33DB"/>
    <w:multiLevelType w:val="hybridMultilevel"/>
    <w:tmpl w:val="1D60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465D"/>
    <w:multiLevelType w:val="hybridMultilevel"/>
    <w:tmpl w:val="48486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3C8F72FF"/>
    <w:multiLevelType w:val="hybridMultilevel"/>
    <w:tmpl w:val="E5D8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338D1"/>
    <w:multiLevelType w:val="hybridMultilevel"/>
    <w:tmpl w:val="BBD0C2D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439869CD"/>
    <w:multiLevelType w:val="hybridMultilevel"/>
    <w:tmpl w:val="69B8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10154"/>
    <w:multiLevelType w:val="hybridMultilevel"/>
    <w:tmpl w:val="34703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9307B"/>
    <w:multiLevelType w:val="hybridMultilevel"/>
    <w:tmpl w:val="15248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92505"/>
    <w:multiLevelType w:val="hybridMultilevel"/>
    <w:tmpl w:val="F1922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8"/>
  </w:num>
  <w:num w:numId="3">
    <w:abstractNumId w:val="41"/>
  </w:num>
  <w:num w:numId="4">
    <w:abstractNumId w:val="45"/>
  </w:num>
  <w:num w:numId="5">
    <w:abstractNumId w:val="34"/>
  </w:num>
  <w:num w:numId="6">
    <w:abstractNumId w:val="18"/>
  </w:num>
  <w:num w:numId="7">
    <w:abstractNumId w:val="7"/>
  </w:num>
  <w:num w:numId="8">
    <w:abstractNumId w:val="39"/>
  </w:num>
  <w:num w:numId="9">
    <w:abstractNumId w:val="20"/>
  </w:num>
  <w:num w:numId="10">
    <w:abstractNumId w:val="31"/>
  </w:num>
  <w:num w:numId="11">
    <w:abstractNumId w:val="47"/>
  </w:num>
  <w:num w:numId="12">
    <w:abstractNumId w:val="6"/>
  </w:num>
  <w:num w:numId="13">
    <w:abstractNumId w:val="4"/>
  </w:num>
  <w:num w:numId="14">
    <w:abstractNumId w:val="22"/>
  </w:num>
  <w:num w:numId="15">
    <w:abstractNumId w:val="27"/>
  </w:num>
  <w:num w:numId="16">
    <w:abstractNumId w:val="15"/>
  </w:num>
  <w:num w:numId="17">
    <w:abstractNumId w:val="44"/>
  </w:num>
  <w:num w:numId="18">
    <w:abstractNumId w:val="19"/>
  </w:num>
  <w:num w:numId="19">
    <w:abstractNumId w:val="1"/>
  </w:num>
  <w:num w:numId="20">
    <w:abstractNumId w:val="14"/>
  </w:num>
  <w:num w:numId="21">
    <w:abstractNumId w:val="16"/>
  </w:num>
  <w:num w:numId="22">
    <w:abstractNumId w:val="2"/>
  </w:num>
  <w:num w:numId="23">
    <w:abstractNumId w:val="11"/>
  </w:num>
  <w:num w:numId="24">
    <w:abstractNumId w:val="17"/>
  </w:num>
  <w:num w:numId="25">
    <w:abstractNumId w:val="40"/>
  </w:num>
  <w:num w:numId="26">
    <w:abstractNumId w:val="21"/>
  </w:num>
  <w:num w:numId="27">
    <w:abstractNumId w:val="42"/>
  </w:num>
  <w:num w:numId="28">
    <w:abstractNumId w:val="36"/>
  </w:num>
  <w:num w:numId="29">
    <w:abstractNumId w:val="3"/>
  </w:num>
  <w:num w:numId="30">
    <w:abstractNumId w:val="33"/>
  </w:num>
  <w:num w:numId="31">
    <w:abstractNumId w:val="12"/>
  </w:num>
  <w:num w:numId="32">
    <w:abstractNumId w:val="9"/>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7"/>
  </w:num>
  <w:num w:numId="36">
    <w:abstractNumId w:val="32"/>
  </w:num>
  <w:num w:numId="37">
    <w:abstractNumId w:val="30"/>
  </w:num>
  <w:num w:numId="38">
    <w:abstractNumId w:val="8"/>
  </w:num>
  <w:num w:numId="39">
    <w:abstractNumId w:val="35"/>
  </w:num>
  <w:num w:numId="40">
    <w:abstractNumId w:val="46"/>
  </w:num>
  <w:num w:numId="41">
    <w:abstractNumId w:val="24"/>
  </w:num>
  <w:num w:numId="42">
    <w:abstractNumId w:val="25"/>
  </w:num>
  <w:num w:numId="43">
    <w:abstractNumId w:val="23"/>
  </w:num>
  <w:num w:numId="44">
    <w:abstractNumId w:val="10"/>
  </w:num>
  <w:num w:numId="45">
    <w:abstractNumId w:val="13"/>
  </w:num>
  <w:num w:numId="46">
    <w:abstractNumId w:val="43"/>
  </w:num>
  <w:num w:numId="47">
    <w:abstractNumId w:val="5"/>
  </w:num>
  <w:num w:numId="48">
    <w:abstractNumId w:val="0"/>
  </w:num>
  <w:num w:numId="4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223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BBE"/>
    <w:rsid w:val="000C6CBF"/>
    <w:rsid w:val="000C73B4"/>
    <w:rsid w:val="000C7712"/>
    <w:rsid w:val="000C7E14"/>
    <w:rsid w:val="000D01BA"/>
    <w:rsid w:val="000D1498"/>
    <w:rsid w:val="000D19C5"/>
    <w:rsid w:val="000D1A28"/>
    <w:rsid w:val="000D2221"/>
    <w:rsid w:val="000D2B1D"/>
    <w:rsid w:val="000D2DDE"/>
    <w:rsid w:val="000D2E2A"/>
    <w:rsid w:val="000D3487"/>
    <w:rsid w:val="000D3CB5"/>
    <w:rsid w:val="000D4716"/>
    <w:rsid w:val="000D4E0C"/>
    <w:rsid w:val="000D4ECA"/>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5A0"/>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5C2D"/>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87A"/>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96FB1"/>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3D9"/>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819"/>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1D71"/>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36B"/>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903"/>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352"/>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4A62"/>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5AA"/>
    <w:rsid w:val="004C0D02"/>
    <w:rsid w:val="004C149D"/>
    <w:rsid w:val="004C1A8E"/>
    <w:rsid w:val="004C226E"/>
    <w:rsid w:val="004C2D36"/>
    <w:rsid w:val="004C321F"/>
    <w:rsid w:val="004C50DD"/>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2959"/>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3AA"/>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96D"/>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382"/>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A75"/>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593"/>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150"/>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38C0"/>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6D3E"/>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064"/>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AE8"/>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D0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0EB1"/>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E96"/>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6138"/>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7FC4"/>
    <w:rsid w:val="00C11D7B"/>
    <w:rsid w:val="00C1248E"/>
    <w:rsid w:val="00C12625"/>
    <w:rsid w:val="00C12C41"/>
    <w:rsid w:val="00C141EB"/>
    <w:rsid w:val="00C14BAC"/>
    <w:rsid w:val="00C14E45"/>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1CC"/>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6B3A"/>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5D2"/>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F93"/>
    <w:rsid w:val="00D73006"/>
    <w:rsid w:val="00D7304F"/>
    <w:rsid w:val="00D733F3"/>
    <w:rsid w:val="00D7361F"/>
    <w:rsid w:val="00D744C7"/>
    <w:rsid w:val="00D74AC4"/>
    <w:rsid w:val="00D750FB"/>
    <w:rsid w:val="00D75151"/>
    <w:rsid w:val="00D753D3"/>
    <w:rsid w:val="00D76896"/>
    <w:rsid w:val="00D76E51"/>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6FFA"/>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1F34"/>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3EC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A2A"/>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51E"/>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2E20"/>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15F"/>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CC3"/>
    <w:rsid w:val="00ED16F4"/>
    <w:rsid w:val="00ED2954"/>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DA5"/>
    <w:rsid w:val="00F52EA7"/>
    <w:rsid w:val="00F53A5A"/>
    <w:rsid w:val="00F54231"/>
    <w:rsid w:val="00F5456C"/>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0818"/>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3667"/>
    <w:rsid w:val="00FD5200"/>
    <w:rsid w:val="00FD52B3"/>
    <w:rsid w:val="00FD5C90"/>
    <w:rsid w:val="00FD6525"/>
    <w:rsid w:val="00FD6938"/>
    <w:rsid w:val="00FD77B8"/>
    <w:rsid w:val="00FE08AE"/>
    <w:rsid w:val="00FE0C99"/>
    <w:rsid w:val="00FE130E"/>
    <w:rsid w:val="00FE28FD"/>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F0AD73"/>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character" w:styleId="UnresolvedMention">
    <w:name w:val="Unresolved Mention"/>
    <w:basedOn w:val="DefaultParagraphFont"/>
    <w:uiPriority w:val="99"/>
    <w:semiHidden/>
    <w:unhideWhenUsed/>
    <w:rsid w:val="00E03A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38AD8D3-194C-4232-9735-8A09CEC6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TotalTime>
  <Pages>6</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20</cp:revision>
  <cp:lastPrinted>2018-01-10T11:43:00Z</cp:lastPrinted>
  <dcterms:created xsi:type="dcterms:W3CDTF">2018-01-12T13:41:00Z</dcterms:created>
  <dcterms:modified xsi:type="dcterms:W3CDTF">2018-01-15T21:17:00Z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